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7D5CE5">
        <w:trPr>
          <w:cantSplit/>
          <w:trHeight w:hRule="exact" w:val="1432"/>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01065E" w:rsidRDefault="00797CD0" w:rsidP="00A07EBB">
            <w:pPr>
              <w:pStyle w:val="NoSpacing"/>
              <w:jc w:val="center"/>
            </w:pPr>
            <w:r>
              <w:drawing>
                <wp:inline distT="0" distB="0" distL="0" distR="0" wp14:anchorId="38D7FC92" wp14:editId="51014F7E">
                  <wp:extent cx="2560320" cy="80650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67346" cy="808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9E39"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A07EBB" w:rsidRDefault="00B27205">
                  <w:pPr>
                    <w:pStyle w:val="Title"/>
                    <w:rPr>
                      <w:sz w:val="36"/>
                      <w:szCs w:val="44"/>
                    </w:rPr>
                  </w:pPr>
                  <w:sdt>
                    <w:sdtPr>
                      <w:rPr>
                        <w:sz w:val="36"/>
                        <w:szCs w:val="44"/>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A07EBB" w:rsidRPr="00A07EBB">
                        <w:rPr>
                          <w:sz w:val="36"/>
                          <w:szCs w:val="44"/>
                        </w:rPr>
                        <w:t>Security Newsletter</w:t>
                      </w:r>
                    </w:sdtContent>
                  </w:sdt>
                </w:p>
                <w:sdt>
                  <w:sdtPr>
                    <w:rPr>
                      <w:sz w:val="36"/>
                      <w:szCs w:val="4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A07EBB" w:rsidRDefault="00EC10C3">
                      <w:pPr>
                        <w:pStyle w:val="Subtitle"/>
                        <w:rPr>
                          <w:sz w:val="36"/>
                          <w:szCs w:val="44"/>
                        </w:rPr>
                      </w:pPr>
                      <w:r>
                        <w:rPr>
                          <w:sz w:val="36"/>
                          <w:szCs w:val="44"/>
                        </w:rPr>
                        <w:t>November 1</w:t>
                      </w:r>
                      <w:r w:rsidR="00A22526">
                        <w:rPr>
                          <w:sz w:val="36"/>
                          <w:szCs w:val="44"/>
                        </w:rPr>
                        <w:t>,</w:t>
                      </w:r>
                      <w:r w:rsidR="00A07EBB" w:rsidRPr="00A07EBB">
                        <w:rPr>
                          <w:sz w:val="36"/>
                          <w:szCs w:val="44"/>
                        </w:rPr>
                        <w:t xml:space="preserve"> 2016</w:t>
                      </w:r>
                    </w:p>
                  </w:sdtContent>
                </w:sdt>
              </w:tc>
            </w:tr>
            <w:tr w:rsidR="0001065E">
              <w:trPr>
                <w:trHeight w:val="3312"/>
              </w:trPr>
              <w:tc>
                <w:tcPr>
                  <w:tcW w:w="5000" w:type="pct"/>
                  <w:vAlign w:val="bottom"/>
                </w:tcPr>
                <w:p w:rsidR="0001065E" w:rsidRPr="00A07EBB" w:rsidRDefault="0001065E">
                  <w:pPr>
                    <w:pStyle w:val="Subtitle"/>
                    <w:rPr>
                      <w:sz w:val="36"/>
                      <w:szCs w:val="36"/>
                    </w:rPr>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8AB833" w:themeFill="accent2"/>
            <w:tcMar>
              <w:left w:w="0" w:type="dxa"/>
              <w:right w:w="115" w:type="dxa"/>
            </w:tcMar>
            <w:vAlign w:val="center"/>
          </w:tcPr>
          <w:p w:rsidR="0001065E" w:rsidRPr="006D60F4" w:rsidRDefault="00A07EBB" w:rsidP="00A023C0">
            <w:pPr>
              <w:pStyle w:val="Heading4"/>
              <w:jc w:val="center"/>
              <w:outlineLvl w:val="3"/>
            </w:pPr>
            <w:r w:rsidRPr="006D60F4">
              <w:t>FOR an analytical and operational advantage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6D60F4" w:rsidRDefault="00797CD0">
            <w:pPr>
              <w:pStyle w:val="Heading4"/>
              <w:outlineLvl w:val="3"/>
            </w:pPr>
            <w:r w:rsidRPr="006D60F4">
              <w:t>In This Issue</w:t>
            </w:r>
          </w:p>
        </w:tc>
      </w:tr>
    </w:tbl>
    <w:p w:rsidR="0001065E" w:rsidRDefault="007D5CE5">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57216" behindDoc="0" locked="0" layoutInCell="0" allowOverlap="1" wp14:anchorId="1BC28F66" wp14:editId="12040257">
                <wp:simplePos x="0" y="0"/>
                <wp:positionH relativeFrom="margin">
                  <wp:posOffset>0</wp:posOffset>
                </wp:positionH>
                <wp:positionV relativeFrom="page">
                  <wp:posOffset>1712595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38170E">
                            <w:pPr>
                              <w:pStyle w:val="Heading1"/>
                            </w:pPr>
                            <w:r>
                              <w:t xml:space="preserve">KGH </w:t>
                            </w:r>
                            <w:r w:rsidR="006F2EBD">
                              <w:t xml:space="preserve">Security </w:t>
                            </w:r>
                            <w:r>
                              <w:t>Newsletter</w:t>
                            </w:r>
                          </w:p>
                          <w:p w:rsidR="0001065E" w:rsidRPr="006A3F10" w:rsidRDefault="00797CD0">
                            <w:pPr>
                              <w:pStyle w:val="Name"/>
                              <w:rPr>
                                <w:sz w:val="24"/>
                              </w:rPr>
                            </w:pPr>
                            <w:r w:rsidRPr="006A3F10">
                              <w:rPr>
                                <w:rStyle w:val="Emphasis"/>
                                <w:sz w:val="18"/>
                              </w:rPr>
                              <w:t>by</w:t>
                            </w:r>
                            <w:r w:rsidRPr="006A3F10">
                              <w:rPr>
                                <w:sz w:val="24"/>
                              </w:rPr>
                              <w:t xml:space="preserve"> </w:t>
                            </w:r>
                            <w:r w:rsidR="002E76DC" w:rsidRPr="006A3F10">
                              <w:rPr>
                                <w:sz w:val="24"/>
                              </w:rPr>
                              <w:t xml:space="preserve">Joseph </w:t>
                            </w:r>
                            <w:r w:rsidR="001C1254">
                              <w:rPr>
                                <w:sz w:val="24"/>
                              </w:rPr>
                              <w:t xml:space="preserve">A. </w:t>
                            </w:r>
                            <w:r w:rsidR="002E76DC" w:rsidRPr="006A3F10">
                              <w:rPr>
                                <w:sz w:val="24"/>
                              </w:rPr>
                              <w:t>Gonzalez, FSO; Amanda Wilmore, Assistant FSO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8F66" id="_x0000_t202" coordsize="21600,21600" o:spt="202" path="m,l,21600r21600,l21600,xe">
                <v:stroke joinstyle="miter"/>
                <v:path gradientshapeok="t" o:connecttype="rect"/>
              </v:shapetype>
              <v:shape id="Text Box 5" o:spid="_x0000_s1026" type="#_x0000_t202" style="position:absolute;margin-left:0;margin-top:134.8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" o:allowincell="f" filled="f" stroked="f" strokeweight=".5pt">
                <v:textbox inset="0,0,0,0">
                  <w:txbxContent>
                    <w:p w:rsidR="0001065E" w:rsidRDefault="0038170E">
                      <w:pPr>
                        <w:pStyle w:val="Heading1"/>
                      </w:pPr>
                      <w:r>
                        <w:t xml:space="preserve">KGH </w:t>
                      </w:r>
                      <w:r w:rsidR="006F2EBD">
                        <w:t xml:space="preserve">Security </w:t>
                      </w:r>
                      <w:r>
                        <w:t>Newsletter</w:t>
                      </w:r>
                    </w:p>
                    <w:p w:rsidR="0001065E" w:rsidRPr="006A3F10" w:rsidRDefault="00797CD0">
                      <w:pPr>
                        <w:pStyle w:val="Name"/>
                        <w:rPr>
                          <w:sz w:val="24"/>
                        </w:rPr>
                      </w:pPr>
                      <w:r w:rsidRPr="006A3F10">
                        <w:rPr>
                          <w:rStyle w:val="Emphasis"/>
                          <w:sz w:val="18"/>
                        </w:rPr>
                        <w:t>by</w:t>
                      </w:r>
                      <w:r w:rsidRPr="006A3F10">
                        <w:rPr>
                          <w:sz w:val="24"/>
                        </w:rPr>
                        <w:t xml:space="preserve"> </w:t>
                      </w:r>
                      <w:r w:rsidR="002E76DC" w:rsidRPr="006A3F10">
                        <w:rPr>
                          <w:sz w:val="24"/>
                        </w:rPr>
                        <w:t xml:space="preserve">Joseph </w:t>
                      </w:r>
                      <w:r w:rsidR="001C1254">
                        <w:rPr>
                          <w:sz w:val="24"/>
                        </w:rPr>
                        <w:t xml:space="preserve">A. </w:t>
                      </w:r>
                      <w:r w:rsidR="002E76DC" w:rsidRPr="006A3F10">
                        <w:rPr>
                          <w:sz w:val="24"/>
                        </w:rPr>
                        <w:t>Gonzalez, FSO; Amanda Wilmore, Assistant FSO</w:t>
                      </w:r>
                    </w:p>
                  </w:txbxContent>
                </v:textbox>
                <w10:wrap type="square" anchorx="margin" anchory="page"/>
              </v:shape>
            </w:pict>
          </mc:Fallback>
        </mc:AlternateContent>
      </w:r>
    </w:p>
    <w:p w:rsidR="009E11AB" w:rsidRDefault="009E11AB" w:rsidP="009E11AB">
      <w:pPr>
        <w:pStyle w:val="Heading2"/>
      </w:pPr>
      <w:r>
        <w:t>Security News</w:t>
      </w:r>
    </w:p>
    <w:p w:rsidR="00866A2F" w:rsidRPr="003009C6" w:rsidRDefault="003009C6" w:rsidP="009E11AB">
      <w:pPr>
        <w:rPr>
          <w:sz w:val="22"/>
        </w:rPr>
      </w:pPr>
      <w:r w:rsidRPr="003009C6">
        <w:rPr>
          <w:sz w:val="22"/>
        </w:rPr>
        <w:t>November is Critical Infrastructure Security and Resilience Month</w:t>
      </w:r>
      <w:r w:rsidR="005601D1" w:rsidRPr="003009C6">
        <w:rPr>
          <w:sz w:val="22"/>
        </w:rPr>
        <w:t xml:space="preserve">! Having recognized the importance of </w:t>
      </w:r>
      <w:r w:rsidRPr="003009C6">
        <w:rPr>
          <w:sz w:val="22"/>
        </w:rPr>
        <w:t>critical infrastructure protection</w:t>
      </w:r>
      <w:r w:rsidR="005601D1" w:rsidRPr="003009C6">
        <w:rPr>
          <w:sz w:val="22"/>
        </w:rPr>
        <w:t xml:space="preserve"> to our nation, President Obama designated </w:t>
      </w:r>
      <w:r w:rsidRPr="003009C6">
        <w:rPr>
          <w:sz w:val="22"/>
        </w:rPr>
        <w:t>November</w:t>
      </w:r>
      <w:r w:rsidR="005601D1" w:rsidRPr="003009C6">
        <w:rPr>
          <w:sz w:val="22"/>
        </w:rPr>
        <w:t xml:space="preserve"> as </w:t>
      </w:r>
      <w:r w:rsidRPr="003009C6">
        <w:rPr>
          <w:sz w:val="22"/>
        </w:rPr>
        <w:t>Critical Infrastructure Security and Resilience</w:t>
      </w:r>
      <w:r w:rsidR="003D14AD">
        <w:rPr>
          <w:sz w:val="22"/>
        </w:rPr>
        <w:t xml:space="preserve"> (CISR)</w:t>
      </w:r>
      <w:r w:rsidRPr="003009C6">
        <w:rPr>
          <w:sz w:val="22"/>
        </w:rPr>
        <w:t xml:space="preserve"> Month</w:t>
      </w:r>
      <w:r w:rsidR="005601D1" w:rsidRPr="003009C6">
        <w:rPr>
          <w:sz w:val="22"/>
        </w:rPr>
        <w:t>.</w:t>
      </w:r>
    </w:p>
    <w:p w:rsidR="003D14AD" w:rsidRPr="003D14AD" w:rsidRDefault="003D14AD" w:rsidP="009E11AB">
      <w:pPr>
        <w:rPr>
          <w:sz w:val="22"/>
        </w:rPr>
      </w:pPr>
      <w:r w:rsidRPr="003D14AD">
        <w:rPr>
          <w:sz w:val="22"/>
        </w:rPr>
        <w:t xml:space="preserve">From the Department of Homeland Security on </w:t>
      </w:r>
      <w:hyperlink r:id="rId12" w:history="1">
        <w:r w:rsidRPr="00B94F39">
          <w:rPr>
            <w:rStyle w:val="Hyperlink"/>
            <w:sz w:val="22"/>
          </w:rPr>
          <w:t xml:space="preserve">CISR </w:t>
        </w:r>
        <w:r w:rsidR="00B94F39" w:rsidRPr="00B94F39">
          <w:rPr>
            <w:rStyle w:val="Hyperlink"/>
            <w:sz w:val="22"/>
          </w:rPr>
          <w:t>Month</w:t>
        </w:r>
      </w:hyperlink>
      <w:r w:rsidRPr="003D14AD">
        <w:rPr>
          <w:sz w:val="22"/>
        </w:rPr>
        <w:t>: “Critical Infrastructure Security and Resilience Month builds awareness and appreciation of the importance of critical infrastructure and reaffirms the nationwide commitment to keep our critical infrastructure and our communities safe and secure. Securing the nation’s infrastructure is a national priority that requires planning and coordination across the entire community.”</w:t>
      </w:r>
    </w:p>
    <w:p w:rsidR="00EB5C1A" w:rsidRPr="00C02AFA" w:rsidRDefault="00312C7B" w:rsidP="00EB5C1A">
      <w:pPr>
        <w:pStyle w:val="Heading2"/>
      </w:pPr>
      <w:r w:rsidRPr="00C02AFA">
        <w:t>Insider Threat Implementation</w:t>
      </w:r>
    </w:p>
    <w:p w:rsidR="00FC43BB" w:rsidRPr="00C02AFA" w:rsidRDefault="00FC43BB" w:rsidP="00EB5C1A">
      <w:pPr>
        <w:rPr>
          <w:sz w:val="22"/>
        </w:rPr>
      </w:pPr>
      <w:r w:rsidRPr="00C02AFA">
        <w:rPr>
          <w:sz w:val="22"/>
        </w:rPr>
        <w:t>NISPOM Change 2 mandates that all cleared contractors under the NISP must begin establishing baseline requirements for an insider threat program by November 30, 2016.</w:t>
      </w:r>
    </w:p>
    <w:p w:rsidR="005B4AB3" w:rsidRDefault="00FC43BB" w:rsidP="00EB5C1A">
      <w:pPr>
        <w:rPr>
          <w:sz w:val="22"/>
        </w:rPr>
      </w:pPr>
      <w:r w:rsidRPr="00FA1C95">
        <w:rPr>
          <w:sz w:val="22"/>
        </w:rPr>
        <w:t xml:space="preserve">A DSS requirement for this implementation includes workforce training related to insider threat. </w:t>
      </w:r>
      <w:r w:rsidR="005B4AB3">
        <w:rPr>
          <w:sz w:val="22"/>
        </w:rPr>
        <w:t xml:space="preserve">This </w:t>
      </w:r>
      <w:hyperlink r:id="rId13" w:history="1">
        <w:r w:rsidR="005B4AB3" w:rsidRPr="005B4AB3">
          <w:rPr>
            <w:rStyle w:val="Hyperlink"/>
            <w:sz w:val="22"/>
          </w:rPr>
          <w:t>link</w:t>
        </w:r>
      </w:hyperlink>
      <w:r w:rsidR="005B4AB3">
        <w:rPr>
          <w:sz w:val="22"/>
        </w:rPr>
        <w:t xml:space="preserve"> is intended to increase your awareness of recent events concerning insider threats to U.S. government agencies</w:t>
      </w:r>
      <w:r w:rsidR="00F9388F">
        <w:rPr>
          <w:sz w:val="22"/>
        </w:rPr>
        <w:t>.</w:t>
      </w:r>
    </w:p>
    <w:p w:rsidR="00F9388F" w:rsidRDefault="00F9388F" w:rsidP="00EB5C1A">
      <w:pPr>
        <w:rPr>
          <w:sz w:val="22"/>
        </w:rPr>
      </w:pPr>
      <w:r>
        <w:rPr>
          <w:sz w:val="22"/>
        </w:rPr>
        <w:t xml:space="preserve">Furthermore, the </w:t>
      </w:r>
      <w:r w:rsidR="00A46942">
        <w:rPr>
          <w:sz w:val="22"/>
        </w:rPr>
        <w:t xml:space="preserve">U.S. </w:t>
      </w:r>
      <w:r>
        <w:rPr>
          <w:sz w:val="22"/>
        </w:rPr>
        <w:t xml:space="preserve">government is turning to data analytics of user behavior as a way to prevent internal breaches. Read the article </w:t>
      </w:r>
      <w:hyperlink r:id="rId14" w:history="1">
        <w:r w:rsidRPr="00F9388F">
          <w:rPr>
            <w:rStyle w:val="Hyperlink"/>
            <w:sz w:val="22"/>
          </w:rPr>
          <w:t>here</w:t>
        </w:r>
      </w:hyperlink>
      <w:r>
        <w:rPr>
          <w:sz w:val="22"/>
        </w:rPr>
        <w:t xml:space="preserve"> to learn more.</w:t>
      </w:r>
    </w:p>
    <w:p w:rsidR="00EB5C1A" w:rsidRDefault="00EB5C1A" w:rsidP="00EB5C1A">
      <w:pPr>
        <w:pStyle w:val="Heading2"/>
      </w:pPr>
      <w:r>
        <w:t>Miscellaneous Security Items of Interest</w:t>
      </w:r>
    </w:p>
    <w:p w:rsidR="000F761E" w:rsidRPr="00853BD7" w:rsidRDefault="000F761E" w:rsidP="000F761E">
      <w:pPr>
        <w:rPr>
          <w:sz w:val="22"/>
        </w:rPr>
      </w:pPr>
      <w:r w:rsidRPr="00853BD7">
        <w:rPr>
          <w:sz w:val="22"/>
        </w:rPr>
        <w:t xml:space="preserve">In recognition of </w:t>
      </w:r>
      <w:r w:rsidR="00853BD7" w:rsidRPr="00853BD7">
        <w:rPr>
          <w:sz w:val="22"/>
        </w:rPr>
        <w:t>Critical Infrastructure Security and Resilience Month</w:t>
      </w:r>
      <w:r w:rsidRPr="00853BD7">
        <w:rPr>
          <w:sz w:val="22"/>
        </w:rPr>
        <w:t xml:space="preserve">, KGH Security wants to </w:t>
      </w:r>
      <w:r w:rsidR="00853BD7" w:rsidRPr="00853BD7">
        <w:rPr>
          <w:sz w:val="22"/>
        </w:rPr>
        <w:t>share the following U.S. Department of Homeland Security toolkit which organizations can use to take part in CISR Month</w:t>
      </w:r>
      <w:r w:rsidRPr="00853BD7">
        <w:rPr>
          <w:sz w:val="22"/>
        </w:rPr>
        <w:t>.</w:t>
      </w:r>
    </w:p>
    <w:p w:rsidR="007E125E" w:rsidRPr="00853BD7" w:rsidRDefault="00F06A51" w:rsidP="000F761E">
      <w:pPr>
        <w:rPr>
          <w:sz w:val="22"/>
        </w:rPr>
      </w:pPr>
      <w:r w:rsidRPr="00853BD7">
        <w:rPr>
          <w:sz w:val="22"/>
        </w:rPr>
        <w:object w:dxaOrig="1518"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1pt" o:ole="">
            <v:imagedata r:id="rId15" o:title=""/>
          </v:shape>
          <o:OLEObject Type="Embed" ProgID="Acrobat.Document.2015" ShapeID="_x0000_i1025" DrawAspect="Icon" ObjectID="_1539764993" r:id="rId16"/>
        </w:object>
      </w:r>
    </w:p>
    <w:p w:rsidR="000F761E" w:rsidRPr="00651AE3" w:rsidRDefault="006A4D97" w:rsidP="000F761E">
      <w:pPr>
        <w:rPr>
          <w:sz w:val="22"/>
        </w:rPr>
      </w:pPr>
      <w:r>
        <w:rPr>
          <w:sz w:val="22"/>
        </w:rPr>
        <w:t>The Defense Security Service</w:t>
      </w:r>
      <w:r w:rsidR="00651AE3" w:rsidRPr="00651AE3">
        <w:rPr>
          <w:sz w:val="22"/>
        </w:rPr>
        <w:t xml:space="preserve"> Insider Threat brochure provides important information regarding insider threat, including how to recognize an insider threat and examples of reportable behaviors.</w:t>
      </w:r>
    </w:p>
    <w:p w:rsidR="00853BD7" w:rsidRPr="00D84BB8" w:rsidRDefault="00F06A51" w:rsidP="00EB5C1A">
      <w:pPr>
        <w:rPr>
          <w:sz w:val="22"/>
        </w:rPr>
      </w:pPr>
      <w:r w:rsidRPr="00651AE3">
        <w:rPr>
          <w:sz w:val="22"/>
        </w:rPr>
        <w:object w:dxaOrig="1518" w:dyaOrig="986">
          <v:shape id="_x0000_i1026" type="#_x0000_t75" style="width:75.8pt;height:49.1pt" o:ole="">
            <v:imagedata r:id="rId17" o:title=""/>
          </v:shape>
          <o:OLEObject Type="Embed" ProgID="Acrobat.Document.2015" ShapeID="_x0000_i1026" DrawAspect="Icon" ObjectID="_1539764994" r:id="rId18"/>
        </w:object>
      </w:r>
    </w:p>
    <w:p w:rsidR="0001065E" w:rsidRDefault="00797CD0">
      <w:pPr>
        <w:pStyle w:val="Sidebarphoto"/>
      </w:pPr>
      <w:r>
        <w:br w:type="column"/>
      </w:r>
      <w:r w:rsidR="00182657">
        <w:drawing>
          <wp:inline distT="0" distB="0" distL="0" distR="0" wp14:anchorId="3E7246D2" wp14:editId="4113B8DC">
            <wp:extent cx="2415133" cy="1334647"/>
            <wp:effectExtent l="57150" t="57150" r="61595" b="56515"/>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26107" cy="1340711"/>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bookmarkStart w:id="0" w:name="_GoBack"/>
      <w:bookmarkEnd w:id="0"/>
    </w:p>
    <w:p w:rsidR="0001065E" w:rsidRPr="00717E02" w:rsidRDefault="00172CB8">
      <w:pPr>
        <w:pStyle w:val="SidebarHeading"/>
      </w:pPr>
      <w:r w:rsidRPr="00717E02">
        <w:t xml:space="preserve">November </w:t>
      </w:r>
      <w:r w:rsidR="00A12764" w:rsidRPr="00717E02">
        <w:t xml:space="preserve">is </w:t>
      </w:r>
      <w:r w:rsidRPr="00717E02">
        <w:t xml:space="preserve">Critical Infrastructure Security and Resilience </w:t>
      </w:r>
      <w:r w:rsidR="00A12764" w:rsidRPr="00717E02">
        <w:t>Month</w:t>
      </w:r>
    </w:p>
    <w:p w:rsidR="0001065E" w:rsidRPr="00D84BB8" w:rsidRDefault="00866A2F">
      <w:pPr>
        <w:pStyle w:val="SidebarText"/>
        <w:rPr>
          <w:sz w:val="22"/>
        </w:rPr>
      </w:pPr>
      <w:r w:rsidRPr="00D84BB8">
        <w:rPr>
          <w:sz w:val="22"/>
        </w:rPr>
        <w:t xml:space="preserve">Read President Obama’s Presidential </w:t>
      </w:r>
      <w:r w:rsidR="00717E02" w:rsidRPr="00D84BB8">
        <w:rPr>
          <w:sz w:val="22"/>
        </w:rPr>
        <w:t>Policy Directive (PPD) 21 on Critical Infrastructure Security and Resilience</w:t>
      </w:r>
      <w:r w:rsidRPr="00D84BB8">
        <w:rPr>
          <w:sz w:val="22"/>
        </w:rPr>
        <w:t xml:space="preserve"> </w:t>
      </w:r>
      <w:hyperlink r:id="rId20" w:history="1">
        <w:r w:rsidRPr="00D84BB8">
          <w:rPr>
            <w:rStyle w:val="Hyperlink"/>
            <w:sz w:val="22"/>
          </w:rPr>
          <w:t>here</w:t>
        </w:r>
      </w:hyperlink>
      <w:r w:rsidRPr="00D84BB8">
        <w:rPr>
          <w:sz w:val="22"/>
        </w:rPr>
        <w:t>.</w:t>
      </w:r>
    </w:p>
    <w:p w:rsidR="0001065E" w:rsidRDefault="00797CD0">
      <w:pPr>
        <w:pStyle w:val="Sidebarphoto"/>
      </w:pPr>
      <w:r>
        <w:drawing>
          <wp:inline distT="0" distB="0" distL="0" distR="0">
            <wp:extent cx="2414016" cy="2414016"/>
            <wp:effectExtent l="57150" t="57150" r="62865" b="62865"/>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414016" cy="2414016"/>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AB4317">
      <w:pPr>
        <w:pStyle w:val="SidebarHeading"/>
        <w:rPr>
          <w:rFonts w:asciiTheme="minorHAnsi" w:hAnsiTheme="minorHAnsi"/>
          <w:bCs/>
          <w:color w:val="262626" w:themeColor="text1" w:themeTint="D9"/>
          <w:sz w:val="18"/>
          <w:szCs w:val="22"/>
        </w:rPr>
      </w:pPr>
      <w:r>
        <w:t>Connect with the Center for Development of Security Excellence (CDSE)</w:t>
      </w:r>
    </w:p>
    <w:p w:rsidR="00AB4317" w:rsidRDefault="00AB4317" w:rsidP="008F5A6C">
      <w:pPr>
        <w:pStyle w:val="SidebarText"/>
        <w:rPr>
          <w:sz w:val="22"/>
        </w:rPr>
      </w:pPr>
      <w:r>
        <w:rPr>
          <w:sz w:val="22"/>
        </w:rPr>
        <w:t xml:space="preserve">For current news on security training, education, and certification, </w:t>
      </w:r>
      <w:r w:rsidR="00C178F5">
        <w:rPr>
          <w:sz w:val="22"/>
        </w:rPr>
        <w:t>click the links below to</w:t>
      </w:r>
      <w:r w:rsidR="00BF5B4A">
        <w:rPr>
          <w:sz w:val="22"/>
        </w:rPr>
        <w:t xml:space="preserve"> follow</w:t>
      </w:r>
      <w:r>
        <w:rPr>
          <w:sz w:val="22"/>
        </w:rPr>
        <w:t xml:space="preserve"> CDSE on social media.</w:t>
      </w:r>
    </w:p>
    <w:p w:rsidR="00AB4317" w:rsidRDefault="00B27205" w:rsidP="00EC37EA">
      <w:pPr>
        <w:pStyle w:val="SidebarText"/>
        <w:numPr>
          <w:ilvl w:val="0"/>
          <w:numId w:val="8"/>
        </w:numPr>
        <w:rPr>
          <w:sz w:val="22"/>
        </w:rPr>
      </w:pPr>
      <w:hyperlink r:id="rId22" w:history="1">
        <w:r w:rsidR="001140AC" w:rsidRPr="001140AC">
          <w:rPr>
            <w:rStyle w:val="Hyperlink"/>
            <w:sz w:val="22"/>
          </w:rPr>
          <w:t>Twitter</w:t>
        </w:r>
      </w:hyperlink>
    </w:p>
    <w:p w:rsidR="00AB4317" w:rsidRPr="00AB4317" w:rsidRDefault="00B27205" w:rsidP="001140AC">
      <w:pPr>
        <w:pStyle w:val="SidebarText"/>
        <w:numPr>
          <w:ilvl w:val="0"/>
          <w:numId w:val="8"/>
        </w:numPr>
        <w:rPr>
          <w:sz w:val="22"/>
        </w:rPr>
      </w:pPr>
      <w:hyperlink r:id="rId23" w:history="1">
        <w:r w:rsidR="001140AC" w:rsidRPr="001140AC">
          <w:rPr>
            <w:rStyle w:val="Hyperlink"/>
            <w:sz w:val="22"/>
          </w:rPr>
          <w:t>Facebook</w:t>
        </w:r>
      </w:hyperlink>
    </w:p>
    <w:sectPr w:rsidR="00AB4317" w:rsidRPr="00AB4317" w:rsidSect="008F5A6C">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05" w:rsidRDefault="00B27205">
      <w:pPr>
        <w:spacing w:after="0"/>
      </w:pPr>
      <w:r>
        <w:separator/>
      </w:r>
    </w:p>
    <w:p w:rsidR="00B27205" w:rsidRDefault="00B27205"/>
    <w:p w:rsidR="00B27205" w:rsidRDefault="00B27205"/>
  </w:endnote>
  <w:endnote w:type="continuationSeparator" w:id="0">
    <w:p w:rsidR="00B27205" w:rsidRDefault="00B27205">
      <w:pPr>
        <w:spacing w:after="0"/>
      </w:pPr>
      <w:r>
        <w:continuationSeparator/>
      </w:r>
    </w:p>
    <w:p w:rsidR="00B27205" w:rsidRDefault="00B27205"/>
    <w:p w:rsidR="00B27205" w:rsidRDefault="00B27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05" w:rsidRDefault="00B27205">
      <w:pPr>
        <w:spacing w:after="0"/>
      </w:pPr>
      <w:r>
        <w:separator/>
      </w:r>
    </w:p>
    <w:p w:rsidR="00B27205" w:rsidRDefault="00B27205"/>
    <w:p w:rsidR="00B27205" w:rsidRDefault="00B27205"/>
  </w:footnote>
  <w:footnote w:type="continuationSeparator" w:id="0">
    <w:p w:rsidR="00B27205" w:rsidRDefault="00B27205">
      <w:pPr>
        <w:spacing w:after="0"/>
      </w:pPr>
      <w:r>
        <w:continuationSeparator/>
      </w:r>
    </w:p>
    <w:p w:rsidR="00B27205" w:rsidRDefault="00B27205"/>
    <w:p w:rsidR="00B27205" w:rsidRDefault="00B27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B27205">
          <w:pPr>
            <w:pStyle w:val="Header"/>
          </w:pPr>
          <w:sdt>
            <w:sdtPr>
              <w:alias w:val="Title"/>
              <w:tag w:val="Title"/>
              <w:id w:val="-481080178"/>
              <w:dataBinding w:prefixMappings="xmlns:ns0='http://purl.org/dc/elements/1.1/' xmlns:ns1='http://schemas.openxmlformats.org/package/2006/metadata/core-properties' " w:xpath="/ns1:coreProperties[1]/ns0:subject[1]" w:storeItemID="{6C3C8BC8-F283-45AE-878A-BAB7291924A1}"/>
              <w:text/>
            </w:sdtPr>
            <w:sdtEndPr/>
            <w:sdtContent>
              <w:r w:rsidR="00A07EBB">
                <w:t>Security Newsletter</w:t>
              </w:r>
            </w:sdtContent>
          </w:sdt>
          <w:r w:rsidR="00797CD0">
            <w:t xml:space="preserve"> </w:t>
          </w:r>
          <w:sdt>
            <w:sdtPr>
              <w:alias w:val="Subtitle"/>
              <w:tag w:val="Subtitle"/>
              <w:id w:val="858545867"/>
              <w:dataBinding w:prefixMappings="xmlns:ns0='http://purl.org/dc/elements/1.1/' xmlns:ns1='http://schemas.openxmlformats.org/package/2006/metadata/core-properties' " w:xpath="/ns1:coreProperties[1]/ns1:contentStatus[1]" w:storeItemID="{6C3C8BC8-F283-45AE-878A-BAB7291924A1}"/>
              <w:text/>
            </w:sdtPr>
            <w:sdtEndPr/>
            <w:sdtContent>
              <w:r w:rsidR="00EC10C3">
                <w:t>November 1, 2016</w:t>
              </w:r>
            </w:sdtContent>
          </w:sdt>
          <w:r w:rsidR="008E07FE">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51AE3">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5688089D" wp14:editId="3BBF605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149B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549e39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01065E">
          <w:pPr>
            <w:pStyle w:val="Header"/>
          </w:pPr>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549E39"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8AB833"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82642"/>
    <w:multiLevelType w:val="hybridMultilevel"/>
    <w:tmpl w:val="24EE041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C5"/>
    <w:rsid w:val="0001065E"/>
    <w:rsid w:val="000C23F9"/>
    <w:rsid w:val="000E0F2E"/>
    <w:rsid w:val="000F761E"/>
    <w:rsid w:val="001140AC"/>
    <w:rsid w:val="00172CB8"/>
    <w:rsid w:val="00182657"/>
    <w:rsid w:val="0019329C"/>
    <w:rsid w:val="0019670D"/>
    <w:rsid w:val="001A39A4"/>
    <w:rsid w:val="001C1254"/>
    <w:rsid w:val="001D52E1"/>
    <w:rsid w:val="002371BF"/>
    <w:rsid w:val="00243FEF"/>
    <w:rsid w:val="0024704D"/>
    <w:rsid w:val="002E4FC5"/>
    <w:rsid w:val="002E76DC"/>
    <w:rsid w:val="003009C6"/>
    <w:rsid w:val="0030737C"/>
    <w:rsid w:val="00312C7B"/>
    <w:rsid w:val="00346D0B"/>
    <w:rsid w:val="0037235E"/>
    <w:rsid w:val="0038170E"/>
    <w:rsid w:val="003A7721"/>
    <w:rsid w:val="003D14AD"/>
    <w:rsid w:val="003E443D"/>
    <w:rsid w:val="004705AA"/>
    <w:rsid w:val="005601D1"/>
    <w:rsid w:val="00583C05"/>
    <w:rsid w:val="005A6260"/>
    <w:rsid w:val="005B4AB3"/>
    <w:rsid w:val="005D3727"/>
    <w:rsid w:val="005D4A8A"/>
    <w:rsid w:val="00603E1D"/>
    <w:rsid w:val="00651AE3"/>
    <w:rsid w:val="00664EE5"/>
    <w:rsid w:val="006A3F10"/>
    <w:rsid w:val="006A4D97"/>
    <w:rsid w:val="006C7BF6"/>
    <w:rsid w:val="006D2913"/>
    <w:rsid w:val="006D60F4"/>
    <w:rsid w:val="006F2EBD"/>
    <w:rsid w:val="00717E02"/>
    <w:rsid w:val="00797CD0"/>
    <w:rsid w:val="007C0B8A"/>
    <w:rsid w:val="007C0E70"/>
    <w:rsid w:val="007D474C"/>
    <w:rsid w:val="007D5CE5"/>
    <w:rsid w:val="007E125E"/>
    <w:rsid w:val="007F098A"/>
    <w:rsid w:val="00853BD7"/>
    <w:rsid w:val="00866A2F"/>
    <w:rsid w:val="008E07FE"/>
    <w:rsid w:val="008F2C41"/>
    <w:rsid w:val="008F5A6C"/>
    <w:rsid w:val="009271DE"/>
    <w:rsid w:val="00963254"/>
    <w:rsid w:val="009B165B"/>
    <w:rsid w:val="009E11AB"/>
    <w:rsid w:val="009F5CFC"/>
    <w:rsid w:val="00A023C0"/>
    <w:rsid w:val="00A07EBB"/>
    <w:rsid w:val="00A12764"/>
    <w:rsid w:val="00A16EF2"/>
    <w:rsid w:val="00A22526"/>
    <w:rsid w:val="00A42C06"/>
    <w:rsid w:val="00A46942"/>
    <w:rsid w:val="00A52A69"/>
    <w:rsid w:val="00A9081C"/>
    <w:rsid w:val="00AA5D20"/>
    <w:rsid w:val="00AB4317"/>
    <w:rsid w:val="00B26650"/>
    <w:rsid w:val="00B27205"/>
    <w:rsid w:val="00B66FA7"/>
    <w:rsid w:val="00B94F39"/>
    <w:rsid w:val="00BF2A45"/>
    <w:rsid w:val="00BF5B4A"/>
    <w:rsid w:val="00C02AFA"/>
    <w:rsid w:val="00C178F5"/>
    <w:rsid w:val="00C403BF"/>
    <w:rsid w:val="00C60478"/>
    <w:rsid w:val="00C944E8"/>
    <w:rsid w:val="00CA225B"/>
    <w:rsid w:val="00D12707"/>
    <w:rsid w:val="00D1384D"/>
    <w:rsid w:val="00D4635A"/>
    <w:rsid w:val="00D67279"/>
    <w:rsid w:val="00D83EB8"/>
    <w:rsid w:val="00D84BB8"/>
    <w:rsid w:val="00E276AF"/>
    <w:rsid w:val="00E7294C"/>
    <w:rsid w:val="00EB12B9"/>
    <w:rsid w:val="00EB5C1A"/>
    <w:rsid w:val="00EC10C3"/>
    <w:rsid w:val="00EC26E3"/>
    <w:rsid w:val="00EC76DD"/>
    <w:rsid w:val="00ED065E"/>
    <w:rsid w:val="00F06A51"/>
    <w:rsid w:val="00F15D6F"/>
    <w:rsid w:val="00F53B98"/>
    <w:rsid w:val="00F9388F"/>
    <w:rsid w:val="00FA1C95"/>
    <w:rsid w:val="00FB13CD"/>
    <w:rsid w:val="00FC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B1269-28F9-45CB-A58F-272DBF2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549E39"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549E39" w:themeColor="accent1"/>
      <w:sz w:val="24"/>
      <w:szCs w:val="26"/>
    </w:rPr>
  </w:style>
  <w:style w:type="character" w:styleId="Emphasis">
    <w:name w:val="Emphasis"/>
    <w:basedOn w:val="DefaultParagraphFont"/>
    <w:qFormat/>
    <w:rPr>
      <w:rFonts w:asciiTheme="majorHAnsi" w:hAnsiTheme="majorHAnsi"/>
      <w:i w:val="0"/>
      <w:iCs/>
      <w:color w:val="549E39"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549E39" w:themeColor="accent1"/>
      <w:sz w:val="20"/>
    </w:rPr>
  </w:style>
  <w:style w:type="paragraph" w:styleId="Header">
    <w:name w:val="header"/>
    <w:basedOn w:val="Normal"/>
    <w:link w:val="HeaderChar"/>
    <w:uiPriority w:val="99"/>
    <w:pPr>
      <w:spacing w:after="60"/>
    </w:pPr>
    <w:rPr>
      <w:caps/>
      <w:color w:val="549E39" w:themeColor="accent1"/>
      <w:sz w:val="20"/>
    </w:rPr>
  </w:style>
  <w:style w:type="character" w:customStyle="1" w:styleId="HeaderChar">
    <w:name w:val="Header Char"/>
    <w:basedOn w:val="DefaultParagraphFont"/>
    <w:link w:val="Header"/>
    <w:uiPriority w:val="99"/>
    <w:rPr>
      <w:caps/>
      <w:color w:val="549E39"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BA6906"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549E39"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9526963">
      <w:bodyDiv w:val="1"/>
      <w:marLeft w:val="0"/>
      <w:marRight w:val="0"/>
      <w:marTop w:val="0"/>
      <w:marBottom w:val="0"/>
      <w:divBdr>
        <w:top w:val="none" w:sz="0" w:space="0" w:color="auto"/>
        <w:left w:val="none" w:sz="0" w:space="0" w:color="auto"/>
        <w:bottom w:val="none" w:sz="0" w:space="0" w:color="auto"/>
        <w:right w:val="none" w:sz="0" w:space="0" w:color="auto"/>
      </w:divBdr>
    </w:div>
    <w:div w:id="445319340">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40404806">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shingtonpost.com/business/economy/nsa-case-highlights-growing-concerns-over-insider-threats/2016/10/06/61b90a5e-8bc7-11e6-bf8a-3d26847eeed4_story.html"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yperlink" Target="https://www.dhs.gov/cisr-month"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whitehouse.gov/the-press-office/2016/10/31/presidential-proclamation-critical-infrastructure-security-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s://www.facebook.com/TheCDSE"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edtechmagazine.com/article/2016/10/nsa-and-opm-turn-behavioral-analytics-combat-insider-threats" TargetMode="External"/><Relationship Id="rId22" Type="http://schemas.openxmlformats.org/officeDocument/2006/relationships/hyperlink" Target="https://twitter.com/TheC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AppData\Roaming\Microsoft\Templates\Newsletter.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4BCB15D5-E495-4776-B77F-C4B32790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119</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Security Newsletter</dc:subject>
  <dc:creator>Joseph A. Gonzalez</dc:creator>
  <cp:keywords/>
  <cp:lastModifiedBy>Joseph Gonzalez</cp:lastModifiedBy>
  <cp:revision>35</cp:revision>
  <cp:lastPrinted>2011-06-06T17:16:00Z</cp:lastPrinted>
  <dcterms:created xsi:type="dcterms:W3CDTF">2016-10-15T17:51:00Z</dcterms:created>
  <dcterms:modified xsi:type="dcterms:W3CDTF">2016-11-04T15:43:00Z</dcterms:modified>
  <cp:contentStatus>November 1, 2016</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