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rsidTr="007D5CE5">
        <w:trPr>
          <w:cantSplit/>
          <w:trHeight w:hRule="exact" w:val="1432"/>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01065E" w:rsidRDefault="00797CD0" w:rsidP="00A07EBB">
            <w:pPr>
              <w:pStyle w:val="NoSpacing"/>
              <w:jc w:val="center"/>
            </w:pPr>
            <w:r>
              <w:drawing>
                <wp:inline distT="0" distB="0" distL="0" distR="0" wp14:anchorId="38D7FC92" wp14:editId="51014F7E">
                  <wp:extent cx="2560320" cy="80650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67346" cy="8087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9E39"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A07EBB" w:rsidRDefault="007E5EF9">
                  <w:pPr>
                    <w:pStyle w:val="Title"/>
                    <w:rPr>
                      <w:sz w:val="36"/>
                      <w:szCs w:val="44"/>
                    </w:rPr>
                  </w:pPr>
                  <w:sdt>
                    <w:sdtPr>
                      <w:rPr>
                        <w:sz w:val="36"/>
                        <w:szCs w:val="44"/>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A07EBB" w:rsidRPr="00A07EBB">
                        <w:rPr>
                          <w:sz w:val="36"/>
                          <w:szCs w:val="44"/>
                        </w:rPr>
                        <w:t>Security Newsletter</w:t>
                      </w:r>
                    </w:sdtContent>
                  </w:sdt>
                </w:p>
                <w:sdt>
                  <w:sdtPr>
                    <w:rPr>
                      <w:sz w:val="36"/>
                      <w:szCs w:val="44"/>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Pr="00A07EBB" w:rsidRDefault="003E4012">
                      <w:pPr>
                        <w:pStyle w:val="Subtitle"/>
                        <w:rPr>
                          <w:sz w:val="36"/>
                          <w:szCs w:val="44"/>
                        </w:rPr>
                      </w:pPr>
                      <w:r>
                        <w:rPr>
                          <w:sz w:val="36"/>
                          <w:szCs w:val="44"/>
                        </w:rPr>
                        <w:t>December</w:t>
                      </w:r>
                      <w:r w:rsidR="00EC10C3">
                        <w:rPr>
                          <w:sz w:val="36"/>
                          <w:szCs w:val="44"/>
                        </w:rPr>
                        <w:t xml:space="preserve"> 1</w:t>
                      </w:r>
                      <w:r w:rsidR="00A22526">
                        <w:rPr>
                          <w:sz w:val="36"/>
                          <w:szCs w:val="44"/>
                        </w:rPr>
                        <w:t>,</w:t>
                      </w:r>
                      <w:r w:rsidR="00A07EBB" w:rsidRPr="00A07EBB">
                        <w:rPr>
                          <w:sz w:val="36"/>
                          <w:szCs w:val="44"/>
                        </w:rPr>
                        <w:t xml:space="preserve"> 2016</w:t>
                      </w:r>
                    </w:p>
                  </w:sdtContent>
                </w:sdt>
              </w:tc>
            </w:tr>
            <w:tr w:rsidR="0001065E">
              <w:trPr>
                <w:trHeight w:val="3312"/>
              </w:trPr>
              <w:tc>
                <w:tcPr>
                  <w:tcW w:w="5000" w:type="pct"/>
                  <w:vAlign w:val="bottom"/>
                </w:tcPr>
                <w:p w:rsidR="0001065E" w:rsidRPr="00A07EBB" w:rsidRDefault="0001065E">
                  <w:pPr>
                    <w:pStyle w:val="Subtitle"/>
                    <w:rPr>
                      <w:sz w:val="36"/>
                      <w:szCs w:val="36"/>
                    </w:rPr>
                  </w:pP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8AB833" w:themeFill="accent2"/>
            <w:tcMar>
              <w:left w:w="0" w:type="dxa"/>
              <w:right w:w="115" w:type="dxa"/>
            </w:tcMar>
            <w:vAlign w:val="center"/>
          </w:tcPr>
          <w:p w:rsidR="0001065E" w:rsidRPr="00CE16D0" w:rsidRDefault="00A07EBB" w:rsidP="00A023C0">
            <w:pPr>
              <w:pStyle w:val="Heading4"/>
              <w:jc w:val="center"/>
              <w:outlineLvl w:val="3"/>
              <w:rPr>
                <w:b/>
              </w:rPr>
            </w:pPr>
            <w:r w:rsidRPr="00CE16D0">
              <w:rPr>
                <w:b/>
              </w:rPr>
              <w:t>FOR an analytical and operational advantage</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Pr="00284B64" w:rsidRDefault="00797CD0" w:rsidP="00B56F92">
            <w:pPr>
              <w:pStyle w:val="Heading4"/>
              <w:jc w:val="center"/>
              <w:outlineLvl w:val="3"/>
              <w:rPr>
                <w:b/>
              </w:rPr>
            </w:pPr>
            <w:r w:rsidRPr="00284B64">
              <w:rPr>
                <w:b/>
              </w:rPr>
              <w:t>In This Issue</w:t>
            </w:r>
          </w:p>
        </w:tc>
      </w:tr>
    </w:tbl>
    <w:p w:rsidR="0001065E" w:rsidRDefault="007D5CE5">
      <w:pPr>
        <w:sectPr w:rsidR="0001065E">
          <w:headerReference w:type="default" r:id="rId10"/>
          <w:headerReference w:type="first" r:id="rId11"/>
          <w:pgSz w:w="12240" w:h="15840" w:code="1"/>
          <w:pgMar w:top="720" w:right="576" w:bottom="720" w:left="576" w:header="360" w:footer="720" w:gutter="0"/>
          <w:cols w:space="720"/>
          <w:titlePg/>
          <w:docGrid w:linePitch="360"/>
        </w:sectPr>
      </w:pPr>
      <w:r>
        <w:rPr>
          <w:noProof/>
        </w:rPr>
        <mc:AlternateContent>
          <mc:Choice Requires="wps">
            <w:drawing>
              <wp:anchor distT="0" distB="0" distL="114300" distR="114300" simplePos="0" relativeHeight="251657216" behindDoc="0" locked="0" layoutInCell="0" allowOverlap="1" wp14:anchorId="1BC28F66" wp14:editId="12040257">
                <wp:simplePos x="0" y="0"/>
                <wp:positionH relativeFrom="margin">
                  <wp:posOffset>0</wp:posOffset>
                </wp:positionH>
                <wp:positionV relativeFrom="page">
                  <wp:posOffset>1712595</wp:posOffset>
                </wp:positionV>
                <wp:extent cx="4524375" cy="100012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38170E">
                            <w:pPr>
                              <w:pStyle w:val="Heading1"/>
                            </w:pPr>
                            <w:r>
                              <w:t xml:space="preserve">KGH </w:t>
                            </w:r>
                            <w:r w:rsidR="006F2EBD">
                              <w:t xml:space="preserve">Security </w:t>
                            </w:r>
                            <w:r>
                              <w:t>Newsletter</w:t>
                            </w:r>
                          </w:p>
                          <w:p w:rsidR="0001065E" w:rsidRPr="006A3F10" w:rsidRDefault="00797CD0">
                            <w:pPr>
                              <w:pStyle w:val="Name"/>
                              <w:rPr>
                                <w:sz w:val="24"/>
                              </w:rPr>
                            </w:pPr>
                            <w:r w:rsidRPr="006A3F10">
                              <w:rPr>
                                <w:rStyle w:val="Emphasis"/>
                                <w:sz w:val="18"/>
                              </w:rPr>
                              <w:t>by</w:t>
                            </w:r>
                            <w:r w:rsidRPr="006A3F10">
                              <w:rPr>
                                <w:sz w:val="24"/>
                              </w:rPr>
                              <w:t xml:space="preserve"> </w:t>
                            </w:r>
                            <w:r w:rsidR="002E76DC" w:rsidRPr="006A3F10">
                              <w:rPr>
                                <w:sz w:val="24"/>
                              </w:rPr>
                              <w:t xml:space="preserve">Joseph </w:t>
                            </w:r>
                            <w:r w:rsidR="001C1254">
                              <w:rPr>
                                <w:sz w:val="24"/>
                              </w:rPr>
                              <w:t xml:space="preserve">A. </w:t>
                            </w:r>
                            <w:r w:rsidR="002E76DC" w:rsidRPr="006A3F10">
                              <w:rPr>
                                <w:sz w:val="24"/>
                              </w:rPr>
                              <w:t>Gonzalez, FSO; Amanda Wilmore, Assistant FSO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28F66" id="_x0000_t202" coordsize="21600,21600" o:spt="202" path="m,l,21600r21600,l21600,xe">
                <v:stroke joinstyle="miter"/>
                <v:path gradientshapeok="t" o:connecttype="rect"/>
              </v:shapetype>
              <v:shape id="Text Box 5" o:spid="_x0000_s1026" type="#_x0000_t202" style="position:absolute;margin-left:0;margin-top:134.85pt;width:356.25pt;height:7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" o:allowincell="f" filled="f" stroked="f" strokeweight=".5pt">
                <v:textbox inset="0,0,0,0">
                  <w:txbxContent>
                    <w:p w:rsidR="0001065E" w:rsidRDefault="0038170E">
                      <w:pPr>
                        <w:pStyle w:val="Heading1"/>
                      </w:pPr>
                      <w:r>
                        <w:t xml:space="preserve">KGH </w:t>
                      </w:r>
                      <w:r w:rsidR="006F2EBD">
                        <w:t xml:space="preserve">Security </w:t>
                      </w:r>
                      <w:r>
                        <w:t>Newsletter</w:t>
                      </w:r>
                    </w:p>
                    <w:p w:rsidR="0001065E" w:rsidRPr="006A3F10" w:rsidRDefault="00797CD0">
                      <w:pPr>
                        <w:pStyle w:val="Name"/>
                        <w:rPr>
                          <w:sz w:val="24"/>
                        </w:rPr>
                      </w:pPr>
                      <w:r w:rsidRPr="006A3F10">
                        <w:rPr>
                          <w:rStyle w:val="Emphasis"/>
                          <w:sz w:val="18"/>
                        </w:rPr>
                        <w:t>by</w:t>
                      </w:r>
                      <w:r w:rsidRPr="006A3F10">
                        <w:rPr>
                          <w:sz w:val="24"/>
                        </w:rPr>
                        <w:t xml:space="preserve"> </w:t>
                      </w:r>
                      <w:r w:rsidR="002E76DC" w:rsidRPr="006A3F10">
                        <w:rPr>
                          <w:sz w:val="24"/>
                        </w:rPr>
                        <w:t xml:space="preserve">Joseph </w:t>
                      </w:r>
                      <w:r w:rsidR="001C1254">
                        <w:rPr>
                          <w:sz w:val="24"/>
                        </w:rPr>
                        <w:t xml:space="preserve">A. </w:t>
                      </w:r>
                      <w:r w:rsidR="002E76DC" w:rsidRPr="006A3F10">
                        <w:rPr>
                          <w:sz w:val="24"/>
                        </w:rPr>
                        <w:t>Gonzalez, FSO; Amanda Wilmore, Assistant FSO</w:t>
                      </w:r>
                    </w:p>
                  </w:txbxContent>
                </v:textbox>
                <w10:wrap type="square" anchorx="margin" anchory="page"/>
              </v:shape>
            </w:pict>
          </mc:Fallback>
        </mc:AlternateContent>
      </w:r>
    </w:p>
    <w:p w:rsidR="009E11AB" w:rsidRDefault="009E11AB" w:rsidP="009E11AB">
      <w:pPr>
        <w:pStyle w:val="Heading2"/>
      </w:pPr>
      <w:r>
        <w:t>Security News</w:t>
      </w:r>
    </w:p>
    <w:p w:rsidR="008B48F6" w:rsidRPr="000A0930" w:rsidRDefault="00871C27" w:rsidP="009E11AB">
      <w:pPr>
        <w:rPr>
          <w:sz w:val="22"/>
        </w:rPr>
      </w:pPr>
      <w:r w:rsidRPr="000A0930">
        <w:rPr>
          <w:sz w:val="22"/>
        </w:rPr>
        <w:t xml:space="preserve">As </w:t>
      </w:r>
      <w:r w:rsidR="000E6EE8">
        <w:rPr>
          <w:sz w:val="22"/>
        </w:rPr>
        <w:t>2016 comes to a close</w:t>
      </w:r>
      <w:r w:rsidRPr="000A0930">
        <w:rPr>
          <w:sz w:val="22"/>
        </w:rPr>
        <w:t xml:space="preserve">, a review of the </w:t>
      </w:r>
      <w:r w:rsidR="000E6EE8">
        <w:rPr>
          <w:sz w:val="22"/>
        </w:rPr>
        <w:t>cyber</w:t>
      </w:r>
      <w:r w:rsidRPr="000A0930">
        <w:rPr>
          <w:sz w:val="22"/>
        </w:rPr>
        <w:t xml:space="preserve">security landscape, from the rise of ransomware to the alleged hacking of the presidential election, appears to indicate things cannot get much worse. According to CIO magazine online, however, 2017 threatens to be on par with, if not worse than, 2016. Read CIO’s “2017 Security Predictions” </w:t>
      </w:r>
      <w:hyperlink r:id="rId12" w:history="1">
        <w:r w:rsidRPr="000A0930">
          <w:rPr>
            <w:rStyle w:val="Hyperlink"/>
            <w:sz w:val="22"/>
          </w:rPr>
          <w:t>here</w:t>
        </w:r>
      </w:hyperlink>
      <w:r w:rsidRPr="000A0930">
        <w:rPr>
          <w:sz w:val="22"/>
        </w:rPr>
        <w:t>.</w:t>
      </w:r>
    </w:p>
    <w:p w:rsidR="00EB5C1A" w:rsidRPr="003E6B50" w:rsidRDefault="00312C7B" w:rsidP="00EB5C1A">
      <w:pPr>
        <w:pStyle w:val="Heading2"/>
      </w:pPr>
      <w:r w:rsidRPr="003E6B50">
        <w:t>Insider Threat Implementation</w:t>
      </w:r>
    </w:p>
    <w:p w:rsidR="00FC43BB" w:rsidRPr="003E6B50" w:rsidRDefault="00835E41" w:rsidP="00EB5C1A">
      <w:pPr>
        <w:rPr>
          <w:sz w:val="22"/>
        </w:rPr>
      </w:pPr>
      <w:r w:rsidRPr="003E6B50">
        <w:rPr>
          <w:sz w:val="22"/>
        </w:rPr>
        <w:t xml:space="preserve">On May 18, 2016, the </w:t>
      </w:r>
      <w:r w:rsidR="003D730B" w:rsidRPr="003E6B50">
        <w:rPr>
          <w:sz w:val="22"/>
        </w:rPr>
        <w:t xml:space="preserve">promulgated </w:t>
      </w:r>
      <w:r w:rsidRPr="003E6B50">
        <w:rPr>
          <w:sz w:val="22"/>
        </w:rPr>
        <w:t>National Industrial Security Program Operating Manual (</w:t>
      </w:r>
      <w:r w:rsidR="00FC43BB" w:rsidRPr="003E6B50">
        <w:rPr>
          <w:sz w:val="22"/>
        </w:rPr>
        <w:t>NISPOM</w:t>
      </w:r>
      <w:r w:rsidRPr="003E6B50">
        <w:rPr>
          <w:sz w:val="22"/>
        </w:rPr>
        <w:t>)</w:t>
      </w:r>
      <w:r w:rsidR="00FC43BB" w:rsidRPr="003E6B50">
        <w:rPr>
          <w:sz w:val="22"/>
        </w:rPr>
        <w:t xml:space="preserve"> Change 2 </w:t>
      </w:r>
      <w:r w:rsidR="003D730B" w:rsidRPr="003E6B50">
        <w:rPr>
          <w:sz w:val="22"/>
        </w:rPr>
        <w:t xml:space="preserve">required </w:t>
      </w:r>
      <w:r w:rsidR="00FC43BB" w:rsidRPr="003E6B50">
        <w:rPr>
          <w:sz w:val="22"/>
        </w:rPr>
        <w:t xml:space="preserve">that all cleared contractors under the NISP </w:t>
      </w:r>
      <w:r w:rsidR="003D730B" w:rsidRPr="003E6B50">
        <w:rPr>
          <w:sz w:val="22"/>
        </w:rPr>
        <w:t>must have an established Insider Threat Program by</w:t>
      </w:r>
      <w:r w:rsidR="00FC43BB" w:rsidRPr="003E6B50">
        <w:rPr>
          <w:sz w:val="22"/>
        </w:rPr>
        <w:t xml:space="preserve"> November 30, 2016.</w:t>
      </w:r>
    </w:p>
    <w:p w:rsidR="003D730B" w:rsidRPr="003E6B50" w:rsidRDefault="003D730B" w:rsidP="00EB5C1A">
      <w:pPr>
        <w:rPr>
          <w:sz w:val="22"/>
        </w:rPr>
      </w:pPr>
      <w:r w:rsidRPr="003E6B50">
        <w:rPr>
          <w:sz w:val="22"/>
        </w:rPr>
        <w:t>This requirement also required the appointment of an Insider Threat Program Senior Official (ITPSO), implementation of workforce training requirements related to insider threat; and self-certification to the Defense Security Service.</w:t>
      </w:r>
    </w:p>
    <w:p w:rsidR="003D730B" w:rsidRPr="003E6B50" w:rsidRDefault="003D730B" w:rsidP="00EB5C1A">
      <w:pPr>
        <w:rPr>
          <w:sz w:val="22"/>
        </w:rPr>
      </w:pPr>
      <w:r w:rsidRPr="003E6B50">
        <w:rPr>
          <w:sz w:val="22"/>
        </w:rPr>
        <w:t>Kiernan Group Holdings, Inc. has successfully fulfilled the requirements set forth by DSS by appointing an ITPSO and self-certifying to DSS.</w:t>
      </w:r>
    </w:p>
    <w:p w:rsidR="003D730B" w:rsidRPr="003E6B50" w:rsidRDefault="003D730B" w:rsidP="00EB5C1A">
      <w:pPr>
        <w:rPr>
          <w:sz w:val="22"/>
        </w:rPr>
      </w:pPr>
      <w:r w:rsidRPr="003E6B50">
        <w:rPr>
          <w:sz w:val="22"/>
        </w:rPr>
        <w:t xml:space="preserve">See the attachment below </w:t>
      </w:r>
      <w:r w:rsidR="003E6B50" w:rsidRPr="003E6B50">
        <w:rPr>
          <w:sz w:val="22"/>
        </w:rPr>
        <w:t>to view</w:t>
      </w:r>
      <w:r w:rsidRPr="003E6B50">
        <w:rPr>
          <w:sz w:val="22"/>
        </w:rPr>
        <w:t xml:space="preserve"> KGH’s Insider Threat Program.</w:t>
      </w:r>
    </w:p>
    <w:p w:rsidR="003D730B" w:rsidRPr="003E6B50" w:rsidRDefault="003E6B50" w:rsidP="00EB5C1A">
      <w:pPr>
        <w:rPr>
          <w:sz w:val="22"/>
        </w:rPr>
      </w:pPr>
      <w:r w:rsidRPr="003E6B50">
        <w:object w:dxaOrig="1518" w:dyaOrig="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3" o:title=""/>
          </v:shape>
          <o:OLEObject Type="Embed" ProgID="Word.Document.12" ShapeID="_x0000_i1025" DrawAspect="Icon" ObjectID="_1542175007" r:id="rId14">
            <o:FieldCodes>\s</o:FieldCodes>
          </o:OLEObject>
        </w:object>
      </w:r>
    </w:p>
    <w:p w:rsidR="003E6B50" w:rsidRPr="003E6B50" w:rsidRDefault="003E6B50" w:rsidP="00EB5C1A">
      <w:pPr>
        <w:rPr>
          <w:sz w:val="22"/>
        </w:rPr>
      </w:pPr>
      <w:r w:rsidRPr="003E6B50">
        <w:rPr>
          <w:sz w:val="22"/>
        </w:rPr>
        <w:t xml:space="preserve">In 2017, the outstanding requirement of employee and consultant training will be disseminated to satisfy DSS requirements in full. Be on the lookout for </w:t>
      </w:r>
      <w:r w:rsidR="00E645E3">
        <w:rPr>
          <w:sz w:val="22"/>
        </w:rPr>
        <w:t>annual training</w:t>
      </w:r>
      <w:r w:rsidR="000D2FC7">
        <w:rPr>
          <w:sz w:val="22"/>
        </w:rPr>
        <w:t xml:space="preserve"> reminders</w:t>
      </w:r>
      <w:r w:rsidR="00E645E3">
        <w:rPr>
          <w:sz w:val="22"/>
        </w:rPr>
        <w:t>, including Insider Threat training,</w:t>
      </w:r>
      <w:r w:rsidRPr="003E6B50">
        <w:rPr>
          <w:sz w:val="22"/>
        </w:rPr>
        <w:t xml:space="preserve"> in KGH’s January newsletter.</w:t>
      </w:r>
    </w:p>
    <w:p w:rsidR="00EB5C1A" w:rsidRDefault="00EB5C1A" w:rsidP="00EB5C1A">
      <w:pPr>
        <w:pStyle w:val="Heading2"/>
      </w:pPr>
      <w:r>
        <w:t>Miscellaneous Security Items of Interest</w:t>
      </w:r>
    </w:p>
    <w:p w:rsidR="00D152B0" w:rsidRPr="00D152B0" w:rsidRDefault="00D152B0" w:rsidP="000F761E">
      <w:pPr>
        <w:rPr>
          <w:sz w:val="22"/>
        </w:rPr>
      </w:pPr>
      <w:r w:rsidRPr="00D152B0">
        <w:rPr>
          <w:sz w:val="22"/>
        </w:rPr>
        <w:t xml:space="preserve">If you missed the “DSS 2016 Targeting U.S. Technologies” webinar, here is your </w:t>
      </w:r>
      <w:r w:rsidR="00A07109">
        <w:rPr>
          <w:sz w:val="22"/>
        </w:rPr>
        <w:t>chance</w:t>
      </w:r>
      <w:bookmarkStart w:id="0" w:name="_GoBack"/>
      <w:bookmarkEnd w:id="0"/>
      <w:r w:rsidRPr="00D152B0">
        <w:rPr>
          <w:sz w:val="22"/>
        </w:rPr>
        <w:t xml:space="preserve"> to view it. The webinar is now archived </w:t>
      </w:r>
      <w:hyperlink r:id="rId15" w:history="1">
        <w:r w:rsidRPr="00D152B0">
          <w:rPr>
            <w:rStyle w:val="Hyperlink"/>
            <w:sz w:val="22"/>
          </w:rPr>
          <w:t>here</w:t>
        </w:r>
      </w:hyperlink>
      <w:r w:rsidRPr="00D152B0">
        <w:rPr>
          <w:sz w:val="22"/>
        </w:rPr>
        <w:t>.</w:t>
      </w:r>
    </w:p>
    <w:p w:rsidR="00853BD7" w:rsidRDefault="00287741" w:rsidP="00EB5C1A">
      <w:pPr>
        <w:rPr>
          <w:sz w:val="22"/>
        </w:rPr>
      </w:pPr>
      <w:r>
        <w:rPr>
          <w:sz w:val="22"/>
        </w:rPr>
        <w:t>If you are embarking on foreign travel</w:t>
      </w:r>
      <w:r w:rsidR="00AF5AFE">
        <w:rPr>
          <w:sz w:val="22"/>
        </w:rPr>
        <w:t xml:space="preserve"> during the holidays (or any time throughout the year)</w:t>
      </w:r>
      <w:r>
        <w:rPr>
          <w:sz w:val="22"/>
        </w:rPr>
        <w:t xml:space="preserve">, you are required to read and complete a foreign travel briefing prior to traveling and a foreign travel debriefing upon your return. </w:t>
      </w:r>
      <w:r w:rsidR="00AF5AFE">
        <w:rPr>
          <w:sz w:val="22"/>
        </w:rPr>
        <w:t xml:space="preserve">A </w:t>
      </w:r>
      <w:r>
        <w:rPr>
          <w:sz w:val="22"/>
        </w:rPr>
        <w:t>DSS CI Foreign Travel Briefing short</w:t>
      </w:r>
      <w:r w:rsidR="00AF5AFE">
        <w:rPr>
          <w:sz w:val="22"/>
        </w:rPr>
        <w:t>, available</w:t>
      </w:r>
      <w:r>
        <w:rPr>
          <w:sz w:val="22"/>
        </w:rPr>
        <w:t xml:space="preserve"> </w:t>
      </w:r>
      <w:hyperlink r:id="rId16" w:history="1">
        <w:r w:rsidRPr="00287741">
          <w:rPr>
            <w:rStyle w:val="Hyperlink"/>
            <w:sz w:val="22"/>
          </w:rPr>
          <w:t>here</w:t>
        </w:r>
      </w:hyperlink>
      <w:r w:rsidR="00AF5AFE">
        <w:rPr>
          <w:sz w:val="22"/>
        </w:rPr>
        <w:t>, provides valuable information on how to increase your awareness of threats at your travel destination(s).</w:t>
      </w:r>
    </w:p>
    <w:p w:rsidR="0001065E" w:rsidRDefault="00797CD0" w:rsidP="008B48F6">
      <w:pPr>
        <w:pStyle w:val="Sidebarphoto"/>
        <w:ind w:firstLine="137"/>
      </w:pPr>
      <w:r>
        <w:br w:type="column"/>
      </w:r>
      <w:r w:rsidR="008B48F6">
        <w:drawing>
          <wp:inline distT="0" distB="0" distL="0" distR="0">
            <wp:extent cx="2414016" cy="160934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ider Threat.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14016" cy="1609344"/>
                    </a:xfrm>
                    <a:prstGeom prst="rect">
                      <a:avLst/>
                    </a:prstGeom>
                  </pic:spPr>
                </pic:pic>
              </a:graphicData>
            </a:graphic>
          </wp:inline>
        </w:drawing>
      </w:r>
    </w:p>
    <w:p w:rsidR="0001065E" w:rsidRPr="008B48F6" w:rsidRDefault="008D43E4">
      <w:pPr>
        <w:pStyle w:val="SidebarHeading"/>
      </w:pPr>
      <w:r w:rsidRPr="008B48F6">
        <w:t>NISPOM Change 2 Implementation</w:t>
      </w:r>
    </w:p>
    <w:p w:rsidR="008B48F6" w:rsidRPr="008B48F6" w:rsidRDefault="008B48F6">
      <w:pPr>
        <w:pStyle w:val="SidebarText"/>
        <w:rPr>
          <w:sz w:val="22"/>
        </w:rPr>
      </w:pPr>
      <w:r w:rsidRPr="008B48F6">
        <w:rPr>
          <w:sz w:val="22"/>
        </w:rPr>
        <w:t>For details regarding NISPOM Change 2 Implementation</w:t>
      </w:r>
      <w:r w:rsidR="00D152B0">
        <w:rPr>
          <w:sz w:val="22"/>
        </w:rPr>
        <w:t xml:space="preserve"> and how it affects you</w:t>
      </w:r>
      <w:r w:rsidRPr="008B48F6">
        <w:rPr>
          <w:sz w:val="22"/>
        </w:rPr>
        <w:t xml:space="preserve">, click </w:t>
      </w:r>
      <w:hyperlink r:id="rId18" w:history="1">
        <w:r w:rsidRPr="008B48F6">
          <w:rPr>
            <w:rStyle w:val="Hyperlink"/>
            <w:sz w:val="22"/>
          </w:rPr>
          <w:t>here</w:t>
        </w:r>
      </w:hyperlink>
      <w:r w:rsidRPr="008B48F6">
        <w:rPr>
          <w:sz w:val="22"/>
        </w:rPr>
        <w:t>.</w:t>
      </w:r>
    </w:p>
    <w:p w:rsidR="0001065E" w:rsidRDefault="00797CD0">
      <w:pPr>
        <w:pStyle w:val="Sidebarphoto"/>
      </w:pPr>
      <w:r>
        <w:drawing>
          <wp:inline distT="0" distB="0" distL="0" distR="0">
            <wp:extent cx="2414016" cy="2414016"/>
            <wp:effectExtent l="57150" t="57150" r="62865" b="62865"/>
            <wp:docPr id="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414016" cy="2414016"/>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Default="00AB4317">
      <w:pPr>
        <w:pStyle w:val="SidebarHeading"/>
        <w:rPr>
          <w:rFonts w:asciiTheme="minorHAnsi" w:hAnsiTheme="minorHAnsi"/>
          <w:bCs/>
          <w:color w:val="262626" w:themeColor="text1" w:themeTint="D9"/>
          <w:sz w:val="18"/>
          <w:szCs w:val="22"/>
        </w:rPr>
      </w:pPr>
      <w:r>
        <w:t>Connect with the Center for Development of Security Excellence (CDSE)</w:t>
      </w:r>
    </w:p>
    <w:p w:rsidR="00AB4317" w:rsidRDefault="00AB4317" w:rsidP="008F5A6C">
      <w:pPr>
        <w:pStyle w:val="SidebarText"/>
        <w:rPr>
          <w:sz w:val="22"/>
        </w:rPr>
      </w:pPr>
      <w:r>
        <w:rPr>
          <w:sz w:val="22"/>
        </w:rPr>
        <w:t xml:space="preserve">For current news on security training, education, and certification, </w:t>
      </w:r>
      <w:r w:rsidR="00C178F5">
        <w:rPr>
          <w:sz w:val="22"/>
        </w:rPr>
        <w:t>click the links below to</w:t>
      </w:r>
      <w:r w:rsidR="00BF5B4A">
        <w:rPr>
          <w:sz w:val="22"/>
        </w:rPr>
        <w:t xml:space="preserve"> follow</w:t>
      </w:r>
      <w:r>
        <w:rPr>
          <w:sz w:val="22"/>
        </w:rPr>
        <w:t xml:space="preserve"> CDSE on social media.</w:t>
      </w:r>
    </w:p>
    <w:p w:rsidR="0041653B" w:rsidRPr="00E34846" w:rsidRDefault="007E5EF9" w:rsidP="0041653B">
      <w:pPr>
        <w:pStyle w:val="SidebarText"/>
        <w:numPr>
          <w:ilvl w:val="0"/>
          <w:numId w:val="8"/>
        </w:numPr>
        <w:rPr>
          <w:rStyle w:val="Hyperlink"/>
          <w:color w:val="262626" w:themeColor="text1" w:themeTint="D9"/>
          <w:sz w:val="22"/>
          <w:u w:val="none"/>
        </w:rPr>
      </w:pPr>
      <w:hyperlink r:id="rId20" w:history="1">
        <w:r w:rsidR="0041653B" w:rsidRPr="001140AC">
          <w:rPr>
            <w:rStyle w:val="Hyperlink"/>
            <w:sz w:val="22"/>
          </w:rPr>
          <w:t>Facebook</w:t>
        </w:r>
      </w:hyperlink>
    </w:p>
    <w:p w:rsidR="00AB4317" w:rsidRDefault="007E5EF9" w:rsidP="00EC37EA">
      <w:pPr>
        <w:pStyle w:val="SidebarText"/>
        <w:numPr>
          <w:ilvl w:val="0"/>
          <w:numId w:val="8"/>
        </w:numPr>
        <w:rPr>
          <w:sz w:val="22"/>
        </w:rPr>
      </w:pPr>
      <w:hyperlink r:id="rId21" w:history="1">
        <w:r w:rsidR="001140AC" w:rsidRPr="001140AC">
          <w:rPr>
            <w:rStyle w:val="Hyperlink"/>
            <w:sz w:val="22"/>
          </w:rPr>
          <w:t>Twitter</w:t>
        </w:r>
      </w:hyperlink>
    </w:p>
    <w:p w:rsidR="00E34846" w:rsidRPr="00AB4317" w:rsidRDefault="007E5EF9" w:rsidP="001140AC">
      <w:pPr>
        <w:pStyle w:val="SidebarText"/>
        <w:numPr>
          <w:ilvl w:val="0"/>
          <w:numId w:val="8"/>
        </w:numPr>
        <w:rPr>
          <w:sz w:val="22"/>
        </w:rPr>
      </w:pPr>
      <w:hyperlink r:id="rId22" w:history="1">
        <w:r w:rsidR="00E34846" w:rsidRPr="00E34846">
          <w:rPr>
            <w:rStyle w:val="Hyperlink"/>
            <w:sz w:val="22"/>
          </w:rPr>
          <w:t>YouTube</w:t>
        </w:r>
      </w:hyperlink>
    </w:p>
    <w:sectPr w:rsidR="00E34846" w:rsidRPr="00AB4317" w:rsidSect="008F5A6C">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EF9" w:rsidRDefault="007E5EF9">
      <w:pPr>
        <w:spacing w:after="0"/>
      </w:pPr>
      <w:r>
        <w:separator/>
      </w:r>
    </w:p>
    <w:p w:rsidR="007E5EF9" w:rsidRDefault="007E5EF9"/>
    <w:p w:rsidR="007E5EF9" w:rsidRDefault="007E5EF9"/>
  </w:endnote>
  <w:endnote w:type="continuationSeparator" w:id="0">
    <w:p w:rsidR="007E5EF9" w:rsidRDefault="007E5EF9">
      <w:pPr>
        <w:spacing w:after="0"/>
      </w:pPr>
      <w:r>
        <w:continuationSeparator/>
      </w:r>
    </w:p>
    <w:p w:rsidR="007E5EF9" w:rsidRDefault="007E5EF9"/>
    <w:p w:rsidR="007E5EF9" w:rsidRDefault="007E5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EF9" w:rsidRDefault="007E5EF9">
      <w:pPr>
        <w:spacing w:after="0"/>
      </w:pPr>
      <w:r>
        <w:separator/>
      </w:r>
    </w:p>
    <w:p w:rsidR="007E5EF9" w:rsidRDefault="007E5EF9"/>
    <w:p w:rsidR="007E5EF9" w:rsidRDefault="007E5EF9"/>
  </w:footnote>
  <w:footnote w:type="continuationSeparator" w:id="0">
    <w:p w:rsidR="007E5EF9" w:rsidRDefault="007E5EF9">
      <w:pPr>
        <w:spacing w:after="0"/>
      </w:pPr>
      <w:r>
        <w:continuationSeparator/>
      </w:r>
    </w:p>
    <w:p w:rsidR="007E5EF9" w:rsidRDefault="007E5EF9"/>
    <w:p w:rsidR="007E5EF9" w:rsidRDefault="007E5E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7E5EF9">
          <w:pPr>
            <w:pStyle w:val="Header"/>
          </w:pPr>
          <w:sdt>
            <w:sdtPr>
              <w:alias w:val="Title"/>
              <w:tag w:val="Title"/>
              <w:id w:val="-481080178"/>
              <w:dataBinding w:prefixMappings="xmlns:ns0='http://purl.org/dc/elements/1.1/' xmlns:ns1='http://schemas.openxmlformats.org/package/2006/metadata/core-properties' " w:xpath="/ns1:coreProperties[1]/ns0:subject[1]" w:storeItemID="{6C3C8BC8-F283-45AE-878A-BAB7291924A1}"/>
              <w:text/>
            </w:sdtPr>
            <w:sdtEndPr/>
            <w:sdtContent>
              <w:r w:rsidR="00A07EBB">
                <w:t>Security Newsletter</w:t>
              </w:r>
            </w:sdtContent>
          </w:sdt>
          <w:r w:rsidR="00797CD0">
            <w:t xml:space="preserve"> </w:t>
          </w:r>
          <w:sdt>
            <w:sdtPr>
              <w:alias w:val="Subtitle"/>
              <w:tag w:val="Subtitle"/>
              <w:id w:val="858545867"/>
              <w:dataBinding w:prefixMappings="xmlns:ns0='http://purl.org/dc/elements/1.1/' xmlns:ns1='http://schemas.openxmlformats.org/package/2006/metadata/core-properties' " w:xpath="/ns1:coreProperties[1]/ns1:contentStatus[1]" w:storeItemID="{6C3C8BC8-F283-45AE-878A-BAB7291924A1}"/>
              <w:text/>
            </w:sdtPr>
            <w:sdtEndPr/>
            <w:sdtContent>
              <w:r w:rsidR="003E4012">
                <w:t>December 1, 2016</w:t>
              </w:r>
            </w:sdtContent>
          </w:sdt>
          <w:r w:rsidR="008E07FE">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871C27">
            <w:rPr>
              <w:rStyle w:val="PageNumber"/>
              <w:noProof/>
            </w:rPr>
            <w:t>2</w:t>
          </w:r>
          <w:r>
            <w:rPr>
              <w:rStyle w:val="PageNumber"/>
            </w:rPr>
            <w:fldChar w:fldCharType="end"/>
          </w:r>
        </w:p>
      </w:tc>
    </w:tr>
  </w:tbl>
  <w:p w:rsidR="0001065E" w:rsidRDefault="00797CD0">
    <w:pPr>
      <w:pStyle w:val="NoSpacing"/>
      <w:ind w:left="-218"/>
    </w:pPr>
    <w:r>
      <mc:AlternateContent>
        <mc:Choice Requires="wps">
          <w:drawing>
            <wp:inline distT="0" distB="0" distL="0" distR="0" wp14:anchorId="5688089D" wp14:editId="3BBF6054">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F149BB"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549e39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01065E">
          <w:pPr>
            <w:pStyle w:val="Header"/>
          </w:pPr>
        </w:p>
      </w:tc>
      <w:tc>
        <w:tcPr>
          <w:tcW w:w="5746" w:type="dxa"/>
          <w:vAlign w:val="bottom"/>
        </w:tcPr>
        <w:p w:rsidR="0001065E" w:rsidRDefault="0001065E">
          <w:pPr>
            <w:pStyle w:val="IssueNumber"/>
          </w:pP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549E39"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8AB833"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82642"/>
    <w:multiLevelType w:val="hybridMultilevel"/>
    <w:tmpl w:val="24EE041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C5"/>
    <w:rsid w:val="0001065E"/>
    <w:rsid w:val="000A0930"/>
    <w:rsid w:val="000C23F9"/>
    <w:rsid w:val="000D2FC7"/>
    <w:rsid w:val="000E0F2E"/>
    <w:rsid w:val="000E6EE8"/>
    <w:rsid w:val="000F761E"/>
    <w:rsid w:val="001140AC"/>
    <w:rsid w:val="00172CB8"/>
    <w:rsid w:val="00182657"/>
    <w:rsid w:val="0019329C"/>
    <w:rsid w:val="0019670D"/>
    <w:rsid w:val="001A39A4"/>
    <w:rsid w:val="001C1254"/>
    <w:rsid w:val="001D52E1"/>
    <w:rsid w:val="00232424"/>
    <w:rsid w:val="002371BF"/>
    <w:rsid w:val="00243FEF"/>
    <w:rsid w:val="0024704D"/>
    <w:rsid w:val="00284B64"/>
    <w:rsid w:val="00287741"/>
    <w:rsid w:val="002E4FC5"/>
    <w:rsid w:val="002E76DC"/>
    <w:rsid w:val="003009C6"/>
    <w:rsid w:val="0030737C"/>
    <w:rsid w:val="00312C7B"/>
    <w:rsid w:val="00346D0B"/>
    <w:rsid w:val="0037235E"/>
    <w:rsid w:val="00374FF9"/>
    <w:rsid w:val="0038170E"/>
    <w:rsid w:val="003A7721"/>
    <w:rsid w:val="003D14AD"/>
    <w:rsid w:val="003D6C5C"/>
    <w:rsid w:val="003D730B"/>
    <w:rsid w:val="003E4012"/>
    <w:rsid w:val="003E443D"/>
    <w:rsid w:val="003E6B50"/>
    <w:rsid w:val="0041653B"/>
    <w:rsid w:val="004705AA"/>
    <w:rsid w:val="00546860"/>
    <w:rsid w:val="005601D1"/>
    <w:rsid w:val="00583C05"/>
    <w:rsid w:val="005A6260"/>
    <w:rsid w:val="005B4AB3"/>
    <w:rsid w:val="005D3727"/>
    <w:rsid w:val="005D4A8A"/>
    <w:rsid w:val="00603E1D"/>
    <w:rsid w:val="00651AE3"/>
    <w:rsid w:val="00664EE5"/>
    <w:rsid w:val="006A3F10"/>
    <w:rsid w:val="006A4D97"/>
    <w:rsid w:val="006C7BF6"/>
    <w:rsid w:val="006D2913"/>
    <w:rsid w:val="006D60F4"/>
    <w:rsid w:val="006F2EBD"/>
    <w:rsid w:val="00717E02"/>
    <w:rsid w:val="00797CD0"/>
    <w:rsid w:val="007C0B8A"/>
    <w:rsid w:val="007C0E70"/>
    <w:rsid w:val="007D474C"/>
    <w:rsid w:val="007D5CE5"/>
    <w:rsid w:val="007E125E"/>
    <w:rsid w:val="007E5EF9"/>
    <w:rsid w:val="007F098A"/>
    <w:rsid w:val="00835E41"/>
    <w:rsid w:val="00853BD7"/>
    <w:rsid w:val="00866A2F"/>
    <w:rsid w:val="00871C27"/>
    <w:rsid w:val="008B48F6"/>
    <w:rsid w:val="008D43E4"/>
    <w:rsid w:val="008E07FE"/>
    <w:rsid w:val="008F2C41"/>
    <w:rsid w:val="008F5A6C"/>
    <w:rsid w:val="009271DE"/>
    <w:rsid w:val="00963254"/>
    <w:rsid w:val="009851B0"/>
    <w:rsid w:val="009A50C8"/>
    <w:rsid w:val="009B165B"/>
    <w:rsid w:val="009E11AB"/>
    <w:rsid w:val="009F5CFC"/>
    <w:rsid w:val="00A023C0"/>
    <w:rsid w:val="00A07109"/>
    <w:rsid w:val="00A07EBB"/>
    <w:rsid w:val="00A12764"/>
    <w:rsid w:val="00A16EF2"/>
    <w:rsid w:val="00A22526"/>
    <w:rsid w:val="00A42C06"/>
    <w:rsid w:val="00A46942"/>
    <w:rsid w:val="00A47DAA"/>
    <w:rsid w:val="00A52A69"/>
    <w:rsid w:val="00A744A8"/>
    <w:rsid w:val="00A9081C"/>
    <w:rsid w:val="00AA3650"/>
    <w:rsid w:val="00AA5D20"/>
    <w:rsid w:val="00AB4317"/>
    <w:rsid w:val="00AF5AFE"/>
    <w:rsid w:val="00B26650"/>
    <w:rsid w:val="00B27205"/>
    <w:rsid w:val="00B56F92"/>
    <w:rsid w:val="00B66FA7"/>
    <w:rsid w:val="00B94F39"/>
    <w:rsid w:val="00BF2A45"/>
    <w:rsid w:val="00BF5B4A"/>
    <w:rsid w:val="00C02AFA"/>
    <w:rsid w:val="00C178F5"/>
    <w:rsid w:val="00C403BF"/>
    <w:rsid w:val="00C60478"/>
    <w:rsid w:val="00C944E8"/>
    <w:rsid w:val="00CA225B"/>
    <w:rsid w:val="00CA523A"/>
    <w:rsid w:val="00CC2BF8"/>
    <w:rsid w:val="00CE16D0"/>
    <w:rsid w:val="00D12707"/>
    <w:rsid w:val="00D1384D"/>
    <w:rsid w:val="00D152B0"/>
    <w:rsid w:val="00D4635A"/>
    <w:rsid w:val="00D67279"/>
    <w:rsid w:val="00D83EB8"/>
    <w:rsid w:val="00D84BB8"/>
    <w:rsid w:val="00DA2493"/>
    <w:rsid w:val="00E276AF"/>
    <w:rsid w:val="00E34846"/>
    <w:rsid w:val="00E645E3"/>
    <w:rsid w:val="00E7294C"/>
    <w:rsid w:val="00EB12B9"/>
    <w:rsid w:val="00EB5C1A"/>
    <w:rsid w:val="00EC10C3"/>
    <w:rsid w:val="00EC26E3"/>
    <w:rsid w:val="00EC76DD"/>
    <w:rsid w:val="00ED065E"/>
    <w:rsid w:val="00F06A51"/>
    <w:rsid w:val="00F15D6F"/>
    <w:rsid w:val="00F53B98"/>
    <w:rsid w:val="00F9388F"/>
    <w:rsid w:val="00FA1C95"/>
    <w:rsid w:val="00FB13CD"/>
    <w:rsid w:val="00FC43BB"/>
    <w:rsid w:val="00FD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87DD1"/>
  <w15:docId w15:val="{591B1269-28F9-45CB-A58F-272DBF21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549E39"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549E39" w:themeColor="accent1"/>
      <w:sz w:val="24"/>
      <w:szCs w:val="26"/>
    </w:rPr>
  </w:style>
  <w:style w:type="character" w:styleId="Emphasis">
    <w:name w:val="Emphasis"/>
    <w:basedOn w:val="DefaultParagraphFont"/>
    <w:qFormat/>
    <w:rPr>
      <w:rFonts w:asciiTheme="majorHAnsi" w:hAnsiTheme="majorHAnsi"/>
      <w:i w:val="0"/>
      <w:iCs/>
      <w:color w:val="549E39"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549E39" w:themeColor="accent1"/>
      <w:sz w:val="20"/>
    </w:rPr>
  </w:style>
  <w:style w:type="paragraph" w:styleId="Header">
    <w:name w:val="header"/>
    <w:basedOn w:val="Normal"/>
    <w:link w:val="HeaderChar"/>
    <w:uiPriority w:val="99"/>
    <w:pPr>
      <w:spacing w:after="60"/>
    </w:pPr>
    <w:rPr>
      <w:caps/>
      <w:color w:val="549E39" w:themeColor="accent1"/>
      <w:sz w:val="20"/>
    </w:rPr>
  </w:style>
  <w:style w:type="character" w:customStyle="1" w:styleId="HeaderChar">
    <w:name w:val="Header Char"/>
    <w:basedOn w:val="DefaultParagraphFont"/>
    <w:link w:val="Header"/>
    <w:uiPriority w:val="99"/>
    <w:rPr>
      <w:caps/>
      <w:color w:val="549E39"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BA6906" w:themeColor="followedHyperlink"/>
      <w:u w:val="single"/>
    </w:rPr>
  </w:style>
  <w:style w:type="character" w:styleId="Hyperlink">
    <w:name w:val="Hyperlink"/>
    <w:basedOn w:val="DefaultParagraphFont"/>
    <w:uiPriority w:val="99"/>
    <w:unhideWhenUsed/>
    <w:rPr>
      <w:color w:val="6B9F25"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549E39"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19526963">
      <w:bodyDiv w:val="1"/>
      <w:marLeft w:val="0"/>
      <w:marRight w:val="0"/>
      <w:marTop w:val="0"/>
      <w:marBottom w:val="0"/>
      <w:divBdr>
        <w:top w:val="none" w:sz="0" w:space="0" w:color="auto"/>
        <w:left w:val="none" w:sz="0" w:space="0" w:color="auto"/>
        <w:bottom w:val="none" w:sz="0" w:space="0" w:color="auto"/>
        <w:right w:val="none" w:sz="0" w:space="0" w:color="auto"/>
      </w:divBdr>
    </w:div>
    <w:div w:id="445319340">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40404806">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dss.mil/it/index.html" TargetMode="External"/><Relationship Id="rId3" Type="http://schemas.openxmlformats.org/officeDocument/2006/relationships/numbering" Target="numbering.xml"/><Relationship Id="rId21" Type="http://schemas.openxmlformats.org/officeDocument/2006/relationships/hyperlink" Target="https://twitter.com/TheCDSE" TargetMode="External"/><Relationship Id="rId7" Type="http://schemas.openxmlformats.org/officeDocument/2006/relationships/footnotes" Target="footnotes.xml"/><Relationship Id="rId12" Type="http://schemas.openxmlformats.org/officeDocument/2006/relationships/hyperlink" Target="http://www.cio.com/article/3145879/hiring/2017-security-predictions.html"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cdse.edu/multimedia/shorts/ci-foreign-travel/mod1/module.htm" TargetMode="External"/><Relationship Id="rId20" Type="http://schemas.openxmlformats.org/officeDocument/2006/relationships/hyperlink" Target="https://www.facebook.com/TheCD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dse.edu/catalog/webinars/counterintelligence/dss-2016-targeting.htm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package" Target="embeddings/Microsoft_Word_Document.docx"/><Relationship Id="rId22" Type="http://schemas.openxmlformats.org/officeDocument/2006/relationships/hyperlink" Target="https://www.youtube.com/user/dsscd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AppData\Roaming\Microsoft\Templates\Newsletter.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F416BBD3-EC96-4CA9-9F7F-B913C370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886</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Security Newsletter</dc:subject>
  <dc:creator>Joseph A. Gonzalez</dc:creator>
  <cp:keywords/>
  <cp:lastModifiedBy>Joseph Gonzalez</cp:lastModifiedBy>
  <cp:revision>30</cp:revision>
  <cp:lastPrinted>2011-06-06T17:16:00Z</cp:lastPrinted>
  <dcterms:created xsi:type="dcterms:W3CDTF">2016-11-04T15:45:00Z</dcterms:created>
  <dcterms:modified xsi:type="dcterms:W3CDTF">2016-12-02T14:10:00Z</dcterms:modified>
  <cp:contentStatus>December 1, 2016</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