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9321" w14:textId="1A18D821" w:rsidR="00173075" w:rsidRPr="00CC49EA" w:rsidRDefault="00444858" w:rsidP="00444858">
      <w:pPr>
        <w:spacing w:line="240" w:lineRule="auto"/>
        <w:jc w:val="center"/>
        <w:rPr>
          <w:rFonts w:ascii="Times New Roman" w:hAnsi="Times New Roman" w:cs="Times New Roman"/>
          <w:b/>
          <w:sz w:val="24"/>
          <w:szCs w:val="24"/>
        </w:rPr>
      </w:pPr>
      <w:r w:rsidRPr="00CC49EA">
        <w:rPr>
          <w:rFonts w:ascii="Times New Roman" w:hAnsi="Times New Roman" w:cs="Times New Roman"/>
          <w:b/>
          <w:sz w:val="24"/>
          <w:szCs w:val="24"/>
        </w:rPr>
        <w:t xml:space="preserve">Analytic Spotlight: </w:t>
      </w:r>
      <w:r w:rsidR="004233BE" w:rsidRPr="00CC49EA">
        <w:rPr>
          <w:rFonts w:ascii="Times New Roman" w:hAnsi="Times New Roman" w:cs="Times New Roman"/>
          <w:b/>
          <w:sz w:val="24"/>
          <w:szCs w:val="24"/>
        </w:rPr>
        <w:t xml:space="preserve">Promoting the </w:t>
      </w:r>
      <w:r w:rsidRPr="00CC49EA">
        <w:rPr>
          <w:rFonts w:ascii="Times New Roman" w:hAnsi="Times New Roman" w:cs="Times New Roman"/>
          <w:b/>
          <w:sz w:val="24"/>
          <w:szCs w:val="24"/>
        </w:rPr>
        <w:t>Factors Leading to Reporting Suspicious Activities</w:t>
      </w:r>
    </w:p>
    <w:p w14:paraId="462825B5" w14:textId="6D03DA90" w:rsidR="004233BE" w:rsidRPr="00CC49EA" w:rsidRDefault="004233BE" w:rsidP="00444858">
      <w:pPr>
        <w:spacing w:line="240" w:lineRule="auto"/>
        <w:jc w:val="center"/>
        <w:rPr>
          <w:rFonts w:ascii="Times New Roman" w:hAnsi="Times New Roman" w:cs="Times New Roman"/>
          <w:b/>
          <w:sz w:val="24"/>
          <w:szCs w:val="24"/>
        </w:rPr>
      </w:pPr>
      <w:r w:rsidRPr="00CC49EA">
        <w:rPr>
          <w:rFonts w:ascii="Times New Roman" w:hAnsi="Times New Roman" w:cs="Times New Roman"/>
          <w:b/>
          <w:sz w:val="24"/>
          <w:szCs w:val="24"/>
        </w:rPr>
        <w:t>By Analytic Team, Kiernan Group Holdings (KGH)</w:t>
      </w:r>
    </w:p>
    <w:p w14:paraId="457B058A" w14:textId="7B837E94" w:rsidR="00444858" w:rsidRPr="00CC49EA" w:rsidRDefault="003D2365" w:rsidP="00444858">
      <w:pPr>
        <w:spacing w:line="240" w:lineRule="auto"/>
        <w:rPr>
          <w:rFonts w:ascii="Times New Roman" w:hAnsi="Times New Roman" w:cs="Times New Roman"/>
          <w:sz w:val="24"/>
          <w:szCs w:val="24"/>
        </w:rPr>
      </w:pPr>
      <w:r w:rsidRPr="00CC49EA">
        <w:rPr>
          <w:rFonts w:ascii="Times New Roman" w:hAnsi="Times New Roman" w:cs="Times New Roman"/>
          <w:sz w:val="24"/>
          <w:szCs w:val="24"/>
        </w:rPr>
        <w:tab/>
        <w:t xml:space="preserve">It is generally accepted that violent attacks can be prevented, as </w:t>
      </w:r>
      <w:r w:rsidR="0030670C" w:rsidRPr="00CC49EA">
        <w:rPr>
          <w:rFonts w:ascii="Times New Roman" w:hAnsi="Times New Roman" w:cs="Times New Roman"/>
          <w:sz w:val="24"/>
          <w:szCs w:val="24"/>
        </w:rPr>
        <w:t>stated</w:t>
      </w:r>
      <w:r w:rsidRPr="00CC49EA">
        <w:rPr>
          <w:rFonts w:ascii="Times New Roman" w:hAnsi="Times New Roman" w:cs="Times New Roman"/>
          <w:sz w:val="24"/>
          <w:szCs w:val="24"/>
        </w:rPr>
        <w:t xml:space="preserve"> by the Department of Homeland Security</w:t>
      </w:r>
      <w:r w:rsidR="0030670C" w:rsidRPr="00CC49EA">
        <w:rPr>
          <w:rFonts w:ascii="Times New Roman" w:hAnsi="Times New Roman" w:cs="Times New Roman"/>
          <w:sz w:val="24"/>
          <w:szCs w:val="24"/>
        </w:rPr>
        <w:t xml:space="preserve"> (DHS)</w:t>
      </w:r>
      <w:r w:rsidRPr="00CC49EA">
        <w:rPr>
          <w:rFonts w:ascii="Times New Roman" w:hAnsi="Times New Roman" w:cs="Times New Roman"/>
          <w:sz w:val="24"/>
          <w:szCs w:val="24"/>
        </w:rPr>
        <w:t>, through “prompt and detailed reporting of suspicious activities” by such individuals to a local police department</w:t>
      </w:r>
      <w:r w:rsidR="0030670C" w:rsidRPr="00CC49EA">
        <w:rPr>
          <w:rFonts w:ascii="Times New Roman" w:hAnsi="Times New Roman" w:cs="Times New Roman"/>
          <w:sz w:val="24"/>
          <w:szCs w:val="24"/>
        </w:rPr>
        <w:t xml:space="preserve">. </w:t>
      </w:r>
      <w:r w:rsidR="00B60078" w:rsidRPr="00CC49EA">
        <w:rPr>
          <w:rFonts w:ascii="Times New Roman" w:hAnsi="Times New Roman" w:cs="Times New Roman"/>
          <w:sz w:val="24"/>
          <w:szCs w:val="24"/>
        </w:rPr>
        <w:t>This is part of DHS’s</w:t>
      </w:r>
      <w:r w:rsidR="00DA3A25" w:rsidRPr="00CC49EA">
        <w:rPr>
          <w:rFonts w:ascii="Times New Roman" w:hAnsi="Times New Roman" w:cs="Times New Roman"/>
          <w:sz w:val="24"/>
          <w:szCs w:val="24"/>
        </w:rPr>
        <w:t xml:space="preserve"> trademarked</w:t>
      </w:r>
      <w:r w:rsidR="00B60078" w:rsidRPr="00CC49EA">
        <w:rPr>
          <w:rFonts w:ascii="Times New Roman" w:hAnsi="Times New Roman" w:cs="Times New Roman"/>
          <w:sz w:val="24"/>
          <w:szCs w:val="24"/>
        </w:rPr>
        <w:t xml:space="preserve"> national campaign of “If You See Something, Say Something” that raises public awareness of the </w:t>
      </w:r>
      <w:r w:rsidR="004233A0" w:rsidRPr="00CC49EA">
        <w:rPr>
          <w:rFonts w:ascii="Times New Roman" w:hAnsi="Times New Roman" w:cs="Times New Roman"/>
          <w:sz w:val="24"/>
          <w:szCs w:val="24"/>
        </w:rPr>
        <w:t xml:space="preserve">pre-incident warning </w:t>
      </w:r>
      <w:r w:rsidR="00B60078" w:rsidRPr="00CC49EA">
        <w:rPr>
          <w:rFonts w:ascii="Times New Roman" w:hAnsi="Times New Roman" w:cs="Times New Roman"/>
          <w:sz w:val="24"/>
          <w:szCs w:val="24"/>
        </w:rPr>
        <w:t>indicators of</w:t>
      </w:r>
      <w:r w:rsidR="00BB2E13" w:rsidRPr="00CC49EA">
        <w:rPr>
          <w:rFonts w:ascii="Times New Roman" w:hAnsi="Times New Roman" w:cs="Times New Roman"/>
          <w:sz w:val="24"/>
          <w:szCs w:val="24"/>
        </w:rPr>
        <w:t xml:space="preserve"> imminent</w:t>
      </w:r>
      <w:r w:rsidR="00B60078" w:rsidRPr="00CC49EA">
        <w:rPr>
          <w:rFonts w:ascii="Times New Roman" w:hAnsi="Times New Roman" w:cs="Times New Roman"/>
          <w:sz w:val="24"/>
          <w:szCs w:val="24"/>
        </w:rPr>
        <w:t xml:space="preserve"> </w:t>
      </w:r>
      <w:r w:rsidR="00BB2E13" w:rsidRPr="00CC49EA">
        <w:rPr>
          <w:rFonts w:ascii="Times New Roman" w:hAnsi="Times New Roman" w:cs="Times New Roman"/>
          <w:sz w:val="24"/>
          <w:szCs w:val="24"/>
        </w:rPr>
        <w:t xml:space="preserve">politically-motivated </w:t>
      </w:r>
      <w:r w:rsidR="00B60078" w:rsidRPr="00CC49EA">
        <w:rPr>
          <w:rFonts w:ascii="Times New Roman" w:hAnsi="Times New Roman" w:cs="Times New Roman"/>
          <w:sz w:val="24"/>
          <w:szCs w:val="24"/>
        </w:rPr>
        <w:t xml:space="preserve">terrorism and related attacks such as </w:t>
      </w:r>
      <w:r w:rsidR="00BB2E13" w:rsidRPr="00CC49EA">
        <w:rPr>
          <w:rFonts w:ascii="Times New Roman" w:hAnsi="Times New Roman" w:cs="Times New Roman"/>
          <w:sz w:val="24"/>
          <w:szCs w:val="24"/>
        </w:rPr>
        <w:t xml:space="preserve">by psychologically-motivated </w:t>
      </w:r>
      <w:r w:rsidR="00B60078" w:rsidRPr="00CC49EA">
        <w:rPr>
          <w:rFonts w:ascii="Times New Roman" w:hAnsi="Times New Roman" w:cs="Times New Roman"/>
          <w:sz w:val="24"/>
          <w:szCs w:val="24"/>
        </w:rPr>
        <w:t xml:space="preserve">active shooters. </w:t>
      </w:r>
      <w:r w:rsidR="0030670C" w:rsidRPr="00CC49EA">
        <w:rPr>
          <w:rFonts w:ascii="Times New Roman" w:hAnsi="Times New Roman" w:cs="Times New Roman"/>
          <w:sz w:val="24"/>
          <w:szCs w:val="24"/>
        </w:rPr>
        <w:t xml:space="preserve">This process of reporting such </w:t>
      </w:r>
      <w:r w:rsidR="00BB2E13" w:rsidRPr="00CC49EA">
        <w:rPr>
          <w:rFonts w:ascii="Times New Roman" w:hAnsi="Times New Roman" w:cs="Times New Roman"/>
          <w:sz w:val="24"/>
          <w:szCs w:val="24"/>
        </w:rPr>
        <w:t>pre-</w:t>
      </w:r>
      <w:proofErr w:type="spellStart"/>
      <w:r w:rsidR="00BB2E13" w:rsidRPr="00CC49EA">
        <w:rPr>
          <w:rFonts w:ascii="Times New Roman" w:hAnsi="Times New Roman" w:cs="Times New Roman"/>
          <w:sz w:val="24"/>
          <w:szCs w:val="24"/>
        </w:rPr>
        <w:t>incidnet</w:t>
      </w:r>
      <w:proofErr w:type="spellEnd"/>
      <w:r w:rsidR="00BB2E13" w:rsidRPr="00CC49EA">
        <w:rPr>
          <w:rFonts w:ascii="Times New Roman" w:hAnsi="Times New Roman" w:cs="Times New Roman"/>
          <w:sz w:val="24"/>
          <w:szCs w:val="24"/>
        </w:rPr>
        <w:t xml:space="preserve"> </w:t>
      </w:r>
      <w:r w:rsidR="0030670C" w:rsidRPr="00CC49EA">
        <w:rPr>
          <w:rFonts w:ascii="Times New Roman" w:hAnsi="Times New Roman" w:cs="Times New Roman"/>
          <w:sz w:val="24"/>
          <w:szCs w:val="24"/>
        </w:rPr>
        <w:t>suspicious activities is considered one of the most effective means of preempting potential attacks because local police departments are generally trained to respond quickly</w:t>
      </w:r>
      <w:r w:rsidR="00B60078" w:rsidRPr="00CC49EA">
        <w:rPr>
          <w:rFonts w:ascii="Times New Roman" w:hAnsi="Times New Roman" w:cs="Times New Roman"/>
          <w:sz w:val="24"/>
          <w:szCs w:val="24"/>
        </w:rPr>
        <w:t xml:space="preserve"> to such suspicious activity reports (SARs)</w:t>
      </w:r>
      <w:r w:rsidR="00BB2E13" w:rsidRPr="00CC49EA">
        <w:rPr>
          <w:rFonts w:ascii="Times New Roman" w:hAnsi="Times New Roman" w:cs="Times New Roman"/>
          <w:sz w:val="24"/>
          <w:szCs w:val="24"/>
        </w:rPr>
        <w:t>. A</w:t>
      </w:r>
      <w:r w:rsidR="0030670C" w:rsidRPr="00CC49EA">
        <w:rPr>
          <w:rFonts w:ascii="Times New Roman" w:hAnsi="Times New Roman" w:cs="Times New Roman"/>
          <w:sz w:val="24"/>
          <w:szCs w:val="24"/>
        </w:rPr>
        <w:t>s explained by DHS, once law enforcement officers assess the situation, they can either interview the suspect(s)</w:t>
      </w:r>
      <w:r w:rsidR="00B60078" w:rsidRPr="00CC49EA">
        <w:rPr>
          <w:rFonts w:ascii="Times New Roman" w:hAnsi="Times New Roman" w:cs="Times New Roman"/>
          <w:sz w:val="24"/>
          <w:szCs w:val="24"/>
        </w:rPr>
        <w:t xml:space="preserve"> in person</w:t>
      </w:r>
      <w:r w:rsidR="0030670C" w:rsidRPr="00CC49EA">
        <w:rPr>
          <w:rFonts w:ascii="Times New Roman" w:hAnsi="Times New Roman" w:cs="Times New Roman"/>
          <w:sz w:val="24"/>
          <w:szCs w:val="24"/>
        </w:rPr>
        <w:t xml:space="preserve"> or obtain additional support</w:t>
      </w:r>
      <w:r w:rsidR="00B60078" w:rsidRPr="00CC49EA">
        <w:rPr>
          <w:rFonts w:ascii="Times New Roman" w:hAnsi="Times New Roman" w:cs="Times New Roman"/>
          <w:sz w:val="24"/>
          <w:szCs w:val="24"/>
        </w:rPr>
        <w:t xml:space="preserve"> for such individuals</w:t>
      </w:r>
      <w:r w:rsidR="0030670C" w:rsidRPr="00CC49EA">
        <w:rPr>
          <w:rFonts w:ascii="Times New Roman" w:hAnsi="Times New Roman" w:cs="Times New Roman"/>
          <w:sz w:val="24"/>
          <w:szCs w:val="24"/>
        </w:rPr>
        <w:t xml:space="preserve">, if necessary, from other </w:t>
      </w:r>
      <w:r w:rsidR="00BB2E13" w:rsidRPr="00CC49EA">
        <w:rPr>
          <w:rFonts w:ascii="Times New Roman" w:hAnsi="Times New Roman" w:cs="Times New Roman"/>
          <w:sz w:val="24"/>
          <w:szCs w:val="24"/>
        </w:rPr>
        <w:t>relevant</w:t>
      </w:r>
      <w:r w:rsidR="0030670C" w:rsidRPr="00CC49EA">
        <w:rPr>
          <w:rFonts w:ascii="Times New Roman" w:hAnsi="Times New Roman" w:cs="Times New Roman"/>
          <w:sz w:val="24"/>
          <w:szCs w:val="24"/>
        </w:rPr>
        <w:t xml:space="preserve"> agencies, such as mental health organizations. </w:t>
      </w:r>
    </w:p>
    <w:p w14:paraId="0D3E70DA" w14:textId="3BEDA715" w:rsidR="0099418F" w:rsidRPr="00CC49EA" w:rsidRDefault="0099418F" w:rsidP="00444858">
      <w:pPr>
        <w:spacing w:line="240" w:lineRule="auto"/>
        <w:rPr>
          <w:rFonts w:ascii="Times New Roman" w:hAnsi="Times New Roman" w:cs="Times New Roman"/>
          <w:b/>
          <w:sz w:val="24"/>
          <w:szCs w:val="24"/>
        </w:rPr>
      </w:pPr>
      <w:r w:rsidRPr="00CC49EA">
        <w:rPr>
          <w:rFonts w:ascii="Times New Roman" w:hAnsi="Times New Roman" w:cs="Times New Roman"/>
          <w:b/>
          <w:sz w:val="24"/>
          <w:szCs w:val="24"/>
        </w:rPr>
        <w:t>Significant Incidents of Not Reporting Suspicions About Violent Attackers</w:t>
      </w:r>
    </w:p>
    <w:p w14:paraId="272F9CC2" w14:textId="7B54BF84" w:rsidR="0099418F" w:rsidRPr="00CC49EA" w:rsidRDefault="00CA5247" w:rsidP="00CA5247">
      <w:pPr>
        <w:spacing w:line="240" w:lineRule="auto"/>
        <w:ind w:firstLine="720"/>
        <w:rPr>
          <w:rFonts w:ascii="Times New Roman" w:hAnsi="Times New Roman" w:cs="Times New Roman"/>
          <w:sz w:val="24"/>
          <w:szCs w:val="24"/>
        </w:rPr>
      </w:pPr>
      <w:r w:rsidRPr="00CC49EA">
        <w:rPr>
          <w:rFonts w:ascii="Times New Roman" w:hAnsi="Times New Roman" w:cs="Times New Roman"/>
          <w:sz w:val="24"/>
          <w:szCs w:val="24"/>
        </w:rPr>
        <w:t xml:space="preserve">Below are examples of significant cases of violent rampages by individuals who had demonstrated early warning signs of potential engagement in violence, but despite the awareness of such high-risk indicators by people associated with them, such suspicious mindsets and activities were not reported to local law enforcement authorities for early preemption. </w:t>
      </w:r>
    </w:p>
    <w:p w14:paraId="68A0DB66" w14:textId="4F6B2596" w:rsidR="00BB540E" w:rsidRPr="00CC49EA" w:rsidRDefault="008A1C41" w:rsidP="008A1C41">
      <w:pPr>
        <w:pStyle w:val="NoSpacing"/>
        <w:numPr>
          <w:ilvl w:val="0"/>
          <w:numId w:val="1"/>
        </w:numPr>
        <w:rPr>
          <w:rFonts w:ascii="Times New Roman" w:hAnsi="Times New Roman" w:cs="Times New Roman"/>
          <w:sz w:val="24"/>
          <w:szCs w:val="24"/>
        </w:rPr>
      </w:pPr>
      <w:r w:rsidRPr="00CC49EA">
        <w:rPr>
          <w:rFonts w:ascii="Times New Roman" w:hAnsi="Times New Roman" w:cs="Times New Roman"/>
          <w:sz w:val="24"/>
          <w:szCs w:val="24"/>
        </w:rPr>
        <w:t xml:space="preserve">November 5, 2009: </w:t>
      </w:r>
      <w:proofErr w:type="spellStart"/>
      <w:r w:rsidRPr="00CC49EA">
        <w:rPr>
          <w:rStyle w:val="Strong"/>
          <w:rFonts w:ascii="Times New Roman" w:hAnsi="Times New Roman" w:cs="Times New Roman"/>
          <w:b w:val="0"/>
          <w:sz w:val="24"/>
          <w:szCs w:val="24"/>
        </w:rPr>
        <w:t>Nidal</w:t>
      </w:r>
      <w:proofErr w:type="spellEnd"/>
      <w:r w:rsidRPr="00CC49EA">
        <w:rPr>
          <w:rFonts w:ascii="Times New Roman" w:hAnsi="Times New Roman" w:cs="Times New Roman"/>
          <w:b/>
          <w:sz w:val="24"/>
          <w:szCs w:val="24"/>
        </w:rPr>
        <w:t xml:space="preserve"> </w:t>
      </w:r>
      <w:r w:rsidRPr="00CC49EA">
        <w:rPr>
          <w:rStyle w:val="Strong"/>
          <w:rFonts w:ascii="Times New Roman" w:hAnsi="Times New Roman" w:cs="Times New Roman"/>
          <w:b w:val="0"/>
          <w:sz w:val="24"/>
          <w:szCs w:val="24"/>
        </w:rPr>
        <w:t>Hasan</w:t>
      </w:r>
      <w:r w:rsidRPr="00CC49EA">
        <w:rPr>
          <w:rFonts w:ascii="Times New Roman" w:hAnsi="Times New Roman" w:cs="Times New Roman"/>
          <w:b/>
          <w:sz w:val="24"/>
          <w:szCs w:val="24"/>
        </w:rPr>
        <w:t>,</w:t>
      </w:r>
      <w:r w:rsidRPr="00CC49EA">
        <w:rPr>
          <w:rFonts w:ascii="Times New Roman" w:hAnsi="Times New Roman" w:cs="Times New Roman"/>
          <w:sz w:val="24"/>
          <w:szCs w:val="24"/>
        </w:rPr>
        <w:t xml:space="preserve"> 47, a U.S. Army major and psychiatrist, fatally shot 13 people and injured more than 30 others a mass shooting at his base in Fort Hood, near Killeen, Texas. Hasan is reported to have exhibited numerous worrisome changes of behavior that should have raised red flags while he was employed from around December 2008 to May 2009 as a psychiatrist at Walter Reed Army Medical Center, in Washington, Although Hasan was deemed barely competent as a practicing psychiatrist by his colleagues and supervisors, over issues such as his delivery of presentations that focused on jihadi issues, he was not removed from his job because of the cumbersome and lengthy process for expelling physicians, involving hearings and potential legal challenges. It was also decided that his upcoming deployment in July 2009 at Fort Hood, in Killeen, Texas, would enable additional psychiatrists and other mental health specialists to monitor his concerning behavior and take corrective action, if necessary.</w:t>
      </w:r>
    </w:p>
    <w:p w14:paraId="5C8DC6E7" w14:textId="5DF9CF6C" w:rsidR="00BF3DC1" w:rsidRPr="00CC49EA" w:rsidRDefault="00BF3DC1" w:rsidP="008A1C41">
      <w:pPr>
        <w:pStyle w:val="NoSpacing"/>
        <w:numPr>
          <w:ilvl w:val="0"/>
          <w:numId w:val="1"/>
        </w:numPr>
        <w:rPr>
          <w:rFonts w:ascii="Times New Roman" w:hAnsi="Times New Roman" w:cs="Times New Roman"/>
          <w:sz w:val="24"/>
          <w:szCs w:val="24"/>
        </w:rPr>
      </w:pPr>
      <w:r w:rsidRPr="00CC49EA">
        <w:rPr>
          <w:rFonts w:ascii="Times New Roman" w:hAnsi="Times New Roman" w:cs="Times New Roman"/>
          <w:sz w:val="24"/>
          <w:szCs w:val="24"/>
        </w:rPr>
        <w:t xml:space="preserve">July 20, 2012: James Holmes, 25, carried out a mass shooting at the Century movie theater, in Aurora, CO, killing 12 and injuring 70 others. He had been a doctoral student in neuroscience at the University of Colorado Denver, and had been seen by several campus mental health practitioners, including a psychiatrist, </w:t>
      </w:r>
      <w:r w:rsidR="00425458" w:rsidRPr="00CC49EA">
        <w:rPr>
          <w:rFonts w:ascii="Times New Roman" w:hAnsi="Times New Roman" w:cs="Times New Roman"/>
          <w:sz w:val="24"/>
          <w:szCs w:val="24"/>
        </w:rPr>
        <w:t xml:space="preserve">who was monitoring his deteriorating mental state, and to </w:t>
      </w:r>
      <w:r w:rsidRPr="00CC49EA">
        <w:rPr>
          <w:rFonts w:ascii="Times New Roman" w:hAnsi="Times New Roman" w:cs="Times New Roman"/>
          <w:sz w:val="24"/>
          <w:szCs w:val="24"/>
        </w:rPr>
        <w:t>whom he</w:t>
      </w:r>
      <w:r w:rsidR="00425458" w:rsidRPr="00CC49EA">
        <w:rPr>
          <w:rFonts w:ascii="Times New Roman" w:hAnsi="Times New Roman" w:cs="Times New Roman"/>
          <w:sz w:val="24"/>
          <w:szCs w:val="24"/>
        </w:rPr>
        <w:t xml:space="preserve"> had reportedly</w:t>
      </w:r>
      <w:r w:rsidRPr="00CC49EA">
        <w:rPr>
          <w:rFonts w:ascii="Times New Roman" w:hAnsi="Times New Roman" w:cs="Times New Roman"/>
          <w:sz w:val="24"/>
          <w:szCs w:val="24"/>
        </w:rPr>
        <w:t xml:space="preserve"> </w:t>
      </w:r>
      <w:r w:rsidR="00425458" w:rsidRPr="00CC49EA">
        <w:rPr>
          <w:rFonts w:ascii="Times New Roman" w:hAnsi="Times New Roman" w:cs="Times New Roman"/>
          <w:sz w:val="24"/>
          <w:szCs w:val="24"/>
        </w:rPr>
        <w:t>informed</w:t>
      </w:r>
      <w:r w:rsidRPr="00CC49EA">
        <w:rPr>
          <w:rFonts w:ascii="Times New Roman" w:hAnsi="Times New Roman" w:cs="Times New Roman"/>
          <w:sz w:val="24"/>
          <w:szCs w:val="24"/>
        </w:rPr>
        <w:t xml:space="preserve"> that he was contemplating killing people, although he did not specify any individuals or methods to carry out his attack. </w:t>
      </w:r>
      <w:r w:rsidR="00425458" w:rsidRPr="00CC49EA">
        <w:rPr>
          <w:rFonts w:ascii="Times New Roman" w:hAnsi="Times New Roman" w:cs="Times New Roman"/>
          <w:sz w:val="24"/>
          <w:szCs w:val="24"/>
        </w:rPr>
        <w:t>Although his psychiatrist had reportedly passed on her concerns to campus security, Holmes dropped out of his graduate program, but no one outside of the university was warned about his deteriorating mental state and potential violent intentions.</w:t>
      </w:r>
      <w:r w:rsidRPr="00CC49EA">
        <w:rPr>
          <w:rFonts w:ascii="Times New Roman" w:hAnsi="Times New Roman" w:cs="Times New Roman"/>
          <w:sz w:val="24"/>
          <w:szCs w:val="24"/>
        </w:rPr>
        <w:t xml:space="preserve"> </w:t>
      </w:r>
    </w:p>
    <w:p w14:paraId="1FEB6F87" w14:textId="704D82D3" w:rsidR="001A36B4" w:rsidRPr="00CC49EA" w:rsidRDefault="00F07B59" w:rsidP="000B3627">
      <w:pPr>
        <w:pStyle w:val="ListParagraph"/>
        <w:numPr>
          <w:ilvl w:val="0"/>
          <w:numId w:val="1"/>
        </w:numPr>
        <w:spacing w:line="240" w:lineRule="auto"/>
        <w:rPr>
          <w:rFonts w:ascii="Times New Roman" w:hAnsi="Times New Roman" w:cs="Times New Roman"/>
          <w:sz w:val="24"/>
          <w:szCs w:val="24"/>
        </w:rPr>
      </w:pPr>
      <w:r w:rsidRPr="00CC49EA">
        <w:rPr>
          <w:rFonts w:ascii="Times New Roman" w:hAnsi="Times New Roman" w:cs="Times New Roman"/>
          <w:sz w:val="24"/>
          <w:szCs w:val="24"/>
        </w:rPr>
        <w:t>September 27, 2012</w:t>
      </w:r>
      <w:r w:rsidR="007D2970" w:rsidRPr="00CC49EA">
        <w:rPr>
          <w:rFonts w:ascii="Times New Roman" w:hAnsi="Times New Roman" w:cs="Times New Roman"/>
          <w:sz w:val="24"/>
          <w:szCs w:val="24"/>
        </w:rPr>
        <w:t xml:space="preserve">: Andrew </w:t>
      </w:r>
      <w:proofErr w:type="spellStart"/>
      <w:r w:rsidR="007D2970" w:rsidRPr="00CC49EA">
        <w:rPr>
          <w:rFonts w:ascii="Times New Roman" w:hAnsi="Times New Roman" w:cs="Times New Roman"/>
          <w:sz w:val="24"/>
          <w:szCs w:val="24"/>
        </w:rPr>
        <w:t>Engeldinger</w:t>
      </w:r>
      <w:proofErr w:type="spellEnd"/>
      <w:r w:rsidR="007D2970" w:rsidRPr="00CC49EA">
        <w:rPr>
          <w:rFonts w:ascii="Times New Roman" w:hAnsi="Times New Roman" w:cs="Times New Roman"/>
          <w:sz w:val="24"/>
          <w:szCs w:val="24"/>
        </w:rPr>
        <w:t xml:space="preserve">, 36, </w:t>
      </w:r>
      <w:r w:rsidR="006B7118" w:rsidRPr="00CC49EA">
        <w:rPr>
          <w:rFonts w:ascii="Times New Roman" w:hAnsi="Times New Roman" w:cs="Times New Roman"/>
          <w:sz w:val="24"/>
          <w:szCs w:val="24"/>
        </w:rPr>
        <w:t xml:space="preserve">carried out a shooting rampage at the </w:t>
      </w:r>
      <w:r w:rsidR="00BB540E" w:rsidRPr="00CC49EA">
        <w:rPr>
          <w:rFonts w:ascii="Times New Roman" w:hAnsi="Times New Roman" w:cs="Times New Roman"/>
          <w:sz w:val="24"/>
          <w:szCs w:val="24"/>
        </w:rPr>
        <w:t xml:space="preserve">Accent Signage Systems company, outside of Minneapolis, MN. Six people were killed, and two others injured. </w:t>
      </w:r>
      <w:proofErr w:type="spellStart"/>
      <w:r w:rsidR="00BB540E" w:rsidRPr="00CC49EA">
        <w:rPr>
          <w:rFonts w:ascii="Times New Roman" w:hAnsi="Times New Roman" w:cs="Times New Roman"/>
          <w:sz w:val="24"/>
          <w:szCs w:val="24"/>
        </w:rPr>
        <w:t>Engeldinger</w:t>
      </w:r>
      <w:proofErr w:type="spellEnd"/>
      <w:r w:rsidR="00BB540E" w:rsidRPr="00CC49EA">
        <w:rPr>
          <w:rFonts w:ascii="Times New Roman" w:hAnsi="Times New Roman" w:cs="Times New Roman"/>
          <w:sz w:val="24"/>
          <w:szCs w:val="24"/>
        </w:rPr>
        <w:t xml:space="preserve"> had been an employee at the company since 1999, </w:t>
      </w:r>
      <w:r w:rsidR="00BB540E" w:rsidRPr="00CC49EA">
        <w:rPr>
          <w:rFonts w:ascii="Times New Roman" w:hAnsi="Times New Roman" w:cs="Times New Roman"/>
          <w:sz w:val="24"/>
          <w:szCs w:val="24"/>
        </w:rPr>
        <w:lastRenderedPageBreak/>
        <w:t>but on the day of the shooting he was informed that he was about to be fired. Throughout his employment, he had been repeatedly disciplined “for offensive behavior, tardiness and poor job performance.” His family had been aware of his mental illness, but he had refused their offers to help him get treatment.</w:t>
      </w:r>
    </w:p>
    <w:p w14:paraId="4281C572" w14:textId="58285FAE" w:rsidR="000B3627" w:rsidRPr="00CC49EA" w:rsidRDefault="001A36B4" w:rsidP="000B3627">
      <w:pPr>
        <w:pStyle w:val="ListParagraph"/>
        <w:numPr>
          <w:ilvl w:val="0"/>
          <w:numId w:val="1"/>
        </w:numPr>
        <w:spacing w:line="240" w:lineRule="auto"/>
        <w:rPr>
          <w:rFonts w:ascii="Times New Roman" w:hAnsi="Times New Roman" w:cs="Times New Roman"/>
          <w:sz w:val="24"/>
          <w:szCs w:val="24"/>
        </w:rPr>
      </w:pPr>
      <w:r w:rsidRPr="00CC49EA">
        <w:rPr>
          <w:rFonts w:ascii="Times New Roman" w:hAnsi="Times New Roman" w:cs="Times New Roman"/>
          <w:sz w:val="24"/>
          <w:szCs w:val="24"/>
        </w:rPr>
        <w:t xml:space="preserve">December 2, 2015: Syed Rizwan Farook, 28, and his wife, </w:t>
      </w:r>
      <w:proofErr w:type="spellStart"/>
      <w:r w:rsidRPr="00CC49EA">
        <w:rPr>
          <w:rFonts w:ascii="Times New Roman" w:hAnsi="Times New Roman" w:cs="Times New Roman"/>
          <w:sz w:val="24"/>
          <w:szCs w:val="24"/>
        </w:rPr>
        <w:t>Tashfeen</w:t>
      </w:r>
      <w:proofErr w:type="spellEnd"/>
      <w:r w:rsidRPr="00CC49EA">
        <w:rPr>
          <w:rFonts w:ascii="Times New Roman" w:hAnsi="Times New Roman" w:cs="Times New Roman"/>
          <w:sz w:val="24"/>
          <w:szCs w:val="24"/>
        </w:rPr>
        <w:t xml:space="preserve"> Malik, 27, conducted a shooting rampage at the husband’s office’s holiday party at the Inland Regional Center, in San Bernardino, CA, killing 14 people and injuring 22 others. Neighbors of the couple, who lived in nearby Redlands, had reported afterwards that they had seen them “acting suspiciously in recent weeks” working late at night in their house’s garage and receiving numerous packages that appeared out of place. However, they did not report their suspicions “for fear of racial profiling.” </w:t>
      </w:r>
    </w:p>
    <w:p w14:paraId="4497CD8F" w14:textId="71183B5A" w:rsidR="0099418F" w:rsidRPr="00CC49EA" w:rsidRDefault="008A1C41" w:rsidP="00444858">
      <w:pPr>
        <w:spacing w:line="240" w:lineRule="auto"/>
        <w:rPr>
          <w:rFonts w:ascii="Times New Roman" w:hAnsi="Times New Roman" w:cs="Times New Roman"/>
          <w:b/>
          <w:sz w:val="24"/>
          <w:szCs w:val="24"/>
        </w:rPr>
      </w:pPr>
      <w:r w:rsidRPr="00CC49EA">
        <w:rPr>
          <w:rFonts w:ascii="Times New Roman" w:hAnsi="Times New Roman" w:cs="Times New Roman"/>
          <w:b/>
          <w:sz w:val="24"/>
          <w:szCs w:val="24"/>
        </w:rPr>
        <w:t>Assessment</w:t>
      </w:r>
    </w:p>
    <w:p w14:paraId="45677B2D" w14:textId="35A8EA06" w:rsidR="00BB2E13" w:rsidRPr="00CC49EA" w:rsidRDefault="00BB2E13" w:rsidP="00BB2E13">
      <w:pPr>
        <w:spacing w:line="240" w:lineRule="auto"/>
        <w:ind w:firstLine="720"/>
        <w:rPr>
          <w:rFonts w:ascii="Times New Roman" w:hAnsi="Times New Roman" w:cs="Times New Roman"/>
          <w:sz w:val="24"/>
          <w:szCs w:val="24"/>
        </w:rPr>
      </w:pPr>
      <w:r w:rsidRPr="00CC49EA">
        <w:rPr>
          <w:rFonts w:ascii="Times New Roman" w:hAnsi="Times New Roman" w:cs="Times New Roman"/>
          <w:sz w:val="24"/>
          <w:szCs w:val="24"/>
        </w:rPr>
        <w:t xml:space="preserve">The examples above are highlighted because it is necessary to understand why suspicions about their potentially violent intentions were not reported, which is discussed in the first part of this section. The second part discusses </w:t>
      </w:r>
      <w:r w:rsidR="009556A4" w:rsidRPr="00CC49EA">
        <w:rPr>
          <w:rFonts w:ascii="Times New Roman" w:hAnsi="Times New Roman" w:cs="Times New Roman"/>
          <w:sz w:val="24"/>
          <w:szCs w:val="24"/>
        </w:rPr>
        <w:t>what needs to</w:t>
      </w:r>
      <w:r w:rsidRPr="00CC49EA">
        <w:rPr>
          <w:rFonts w:ascii="Times New Roman" w:hAnsi="Times New Roman" w:cs="Times New Roman"/>
          <w:sz w:val="24"/>
          <w:szCs w:val="24"/>
        </w:rPr>
        <w:t xml:space="preserve"> be done to redress this problem because the consequences of not managing it effectively is costly not only in terms of loss of lives of those targeted by them, but legal and financial liabilities to those who do not exercise due diligence in providing safe work environments for their employees.</w:t>
      </w:r>
    </w:p>
    <w:p w14:paraId="1A623A69" w14:textId="4B8F3A4C" w:rsidR="00BB2E13" w:rsidRPr="00CC49EA" w:rsidRDefault="00BB2E13" w:rsidP="00444858">
      <w:pPr>
        <w:spacing w:line="240" w:lineRule="auto"/>
        <w:rPr>
          <w:rFonts w:ascii="Times New Roman" w:hAnsi="Times New Roman" w:cs="Times New Roman"/>
          <w:b/>
          <w:sz w:val="24"/>
          <w:szCs w:val="24"/>
        </w:rPr>
      </w:pPr>
      <w:r w:rsidRPr="00CC49EA">
        <w:rPr>
          <w:rFonts w:ascii="Times New Roman" w:hAnsi="Times New Roman" w:cs="Times New Roman"/>
          <w:b/>
          <w:sz w:val="24"/>
          <w:szCs w:val="24"/>
        </w:rPr>
        <w:t>Part One: Why Suspicious Indicators May Not Be Reported</w:t>
      </w:r>
    </w:p>
    <w:p w14:paraId="7F9EAEE3" w14:textId="4976B769" w:rsidR="002544CF" w:rsidRPr="00CC49EA" w:rsidRDefault="002544CF" w:rsidP="00444858">
      <w:pPr>
        <w:spacing w:line="240" w:lineRule="auto"/>
        <w:rPr>
          <w:rFonts w:ascii="Times New Roman" w:hAnsi="Times New Roman" w:cs="Times New Roman"/>
          <w:sz w:val="24"/>
          <w:szCs w:val="24"/>
        </w:rPr>
      </w:pPr>
      <w:r w:rsidRPr="00CC49EA">
        <w:rPr>
          <w:rFonts w:ascii="Times New Roman" w:hAnsi="Times New Roman" w:cs="Times New Roman"/>
          <w:sz w:val="24"/>
          <w:szCs w:val="24"/>
        </w:rPr>
        <w:tab/>
      </w:r>
      <w:r w:rsidR="00150E92" w:rsidRPr="00CC49EA">
        <w:rPr>
          <w:rFonts w:ascii="Times New Roman" w:hAnsi="Times New Roman" w:cs="Times New Roman"/>
          <w:sz w:val="24"/>
          <w:szCs w:val="24"/>
        </w:rPr>
        <w:t xml:space="preserve">Despite the guideline of </w:t>
      </w:r>
      <w:r w:rsidRPr="00CC49EA">
        <w:rPr>
          <w:rFonts w:ascii="Times New Roman" w:hAnsi="Times New Roman" w:cs="Times New Roman"/>
          <w:sz w:val="24"/>
          <w:szCs w:val="24"/>
        </w:rPr>
        <w:t>“</w:t>
      </w:r>
      <w:r w:rsidR="00150E92" w:rsidRPr="00CC49EA">
        <w:rPr>
          <w:rFonts w:ascii="Times New Roman" w:hAnsi="Times New Roman" w:cs="Times New Roman"/>
          <w:sz w:val="24"/>
          <w:szCs w:val="24"/>
        </w:rPr>
        <w:t>seeing something, s</w:t>
      </w:r>
      <w:r w:rsidRPr="00CC49EA">
        <w:rPr>
          <w:rFonts w:ascii="Times New Roman" w:hAnsi="Times New Roman" w:cs="Times New Roman"/>
          <w:sz w:val="24"/>
          <w:szCs w:val="24"/>
        </w:rPr>
        <w:t xml:space="preserve">aying something,” however, </w:t>
      </w:r>
      <w:r w:rsidR="00150E92" w:rsidRPr="00CC49EA">
        <w:rPr>
          <w:rFonts w:ascii="Times New Roman" w:hAnsi="Times New Roman" w:cs="Times New Roman"/>
          <w:sz w:val="24"/>
          <w:szCs w:val="24"/>
        </w:rPr>
        <w:t xml:space="preserve">there are several factors that make it </w:t>
      </w:r>
      <w:r w:rsidRPr="00CC49EA">
        <w:rPr>
          <w:rFonts w:ascii="Times New Roman" w:hAnsi="Times New Roman" w:cs="Times New Roman"/>
          <w:sz w:val="24"/>
          <w:szCs w:val="24"/>
        </w:rPr>
        <w:t>complicated to report</w:t>
      </w:r>
      <w:r w:rsidR="00BB4E8C" w:rsidRPr="00CC49EA">
        <w:rPr>
          <w:rFonts w:ascii="Times New Roman" w:hAnsi="Times New Roman" w:cs="Times New Roman"/>
          <w:sz w:val="24"/>
          <w:szCs w:val="24"/>
        </w:rPr>
        <w:t xml:space="preserve"> suspicious behaviors by risk-prone individuals</w:t>
      </w:r>
      <w:r w:rsidRPr="00CC49EA">
        <w:rPr>
          <w:rFonts w:ascii="Times New Roman" w:hAnsi="Times New Roman" w:cs="Times New Roman"/>
          <w:sz w:val="24"/>
          <w:szCs w:val="24"/>
        </w:rPr>
        <w:t xml:space="preserve"> to the appropriate authorities</w:t>
      </w:r>
      <w:r w:rsidR="00BB4E8C" w:rsidRPr="00CC49EA">
        <w:rPr>
          <w:rFonts w:ascii="Times New Roman" w:hAnsi="Times New Roman" w:cs="Times New Roman"/>
          <w:sz w:val="24"/>
          <w:szCs w:val="24"/>
        </w:rPr>
        <w:t xml:space="preserve">. </w:t>
      </w:r>
      <w:r w:rsidR="00150E92" w:rsidRPr="00CC49EA">
        <w:rPr>
          <w:rFonts w:ascii="Times New Roman" w:hAnsi="Times New Roman" w:cs="Times New Roman"/>
          <w:sz w:val="24"/>
          <w:szCs w:val="24"/>
        </w:rPr>
        <w:t xml:space="preserve">These include </w:t>
      </w:r>
      <w:r w:rsidR="00BB4E8C" w:rsidRPr="00CC49EA">
        <w:rPr>
          <w:rFonts w:ascii="Times New Roman" w:hAnsi="Times New Roman" w:cs="Times New Roman"/>
          <w:sz w:val="24"/>
          <w:szCs w:val="24"/>
        </w:rPr>
        <w:t>the following:</w:t>
      </w:r>
    </w:p>
    <w:p w14:paraId="402E01B4" w14:textId="1319BCB0" w:rsidR="002544CF" w:rsidRPr="00CC49EA" w:rsidRDefault="00BB4E8C" w:rsidP="002544CF">
      <w:pPr>
        <w:spacing w:line="240" w:lineRule="auto"/>
        <w:ind w:firstLine="720"/>
        <w:rPr>
          <w:rFonts w:ascii="Times New Roman" w:hAnsi="Times New Roman" w:cs="Times New Roman"/>
          <w:sz w:val="24"/>
          <w:szCs w:val="24"/>
        </w:rPr>
      </w:pPr>
      <w:r w:rsidRPr="00CC49EA">
        <w:rPr>
          <w:rFonts w:ascii="Times New Roman" w:hAnsi="Times New Roman" w:cs="Times New Roman"/>
          <w:b/>
          <w:sz w:val="24"/>
          <w:szCs w:val="24"/>
        </w:rPr>
        <w:t>Federal Legal Regulations.</w:t>
      </w:r>
      <w:r w:rsidR="00591DFE" w:rsidRPr="00CC49EA">
        <w:rPr>
          <w:rFonts w:ascii="Times New Roman" w:hAnsi="Times New Roman" w:cs="Times New Roman"/>
          <w:sz w:val="24"/>
          <w:szCs w:val="24"/>
        </w:rPr>
        <w:t xml:space="preserve"> </w:t>
      </w:r>
      <w:r w:rsidR="000131A0" w:rsidRPr="00CC49EA">
        <w:rPr>
          <w:rFonts w:ascii="Times New Roman" w:hAnsi="Times New Roman" w:cs="Times New Roman"/>
          <w:sz w:val="24"/>
          <w:szCs w:val="24"/>
        </w:rPr>
        <w:t>First, under the Health Insurance Portability and Accountability Act</w:t>
      </w:r>
      <w:r w:rsidR="002544CF" w:rsidRPr="00CC49EA">
        <w:rPr>
          <w:rFonts w:ascii="Times New Roman" w:hAnsi="Times New Roman" w:cs="Times New Roman"/>
          <w:sz w:val="24"/>
          <w:szCs w:val="24"/>
        </w:rPr>
        <w:t>’s</w:t>
      </w:r>
      <w:r w:rsidR="000131A0" w:rsidRPr="00CC49EA">
        <w:rPr>
          <w:rFonts w:ascii="Times New Roman" w:hAnsi="Times New Roman" w:cs="Times New Roman"/>
          <w:sz w:val="24"/>
          <w:szCs w:val="24"/>
        </w:rPr>
        <w:t xml:space="preserve"> (HIPAA) Privacy Rule regarding the use/disclosure of an individual’s personal health information (PHI) (which also includes one’s mental health), there are demarcated boundaries on the use or disclosure of such health records, with violators accountable with civil or criminal penalties for violating the privacy of an individual’s PHI. </w:t>
      </w:r>
    </w:p>
    <w:p w14:paraId="24025E76" w14:textId="0F320966" w:rsidR="0030670C" w:rsidRPr="00CC49EA" w:rsidRDefault="000131A0" w:rsidP="002544CF">
      <w:pPr>
        <w:spacing w:line="240" w:lineRule="auto"/>
        <w:ind w:firstLine="720"/>
        <w:rPr>
          <w:rFonts w:ascii="Times New Roman" w:hAnsi="Times New Roman" w:cs="Times New Roman"/>
          <w:sz w:val="24"/>
          <w:szCs w:val="24"/>
        </w:rPr>
      </w:pPr>
      <w:r w:rsidRPr="00CC49EA">
        <w:rPr>
          <w:rFonts w:ascii="Times New Roman" w:hAnsi="Times New Roman" w:cs="Times New Roman"/>
          <w:sz w:val="24"/>
          <w:szCs w:val="24"/>
        </w:rPr>
        <w:t>Second, under the Family Educational Rights and Privacy Act (FERPA</w:t>
      </w:r>
      <w:r w:rsidR="002544CF" w:rsidRPr="00CC49EA">
        <w:rPr>
          <w:rFonts w:ascii="Times New Roman" w:hAnsi="Times New Roman" w:cs="Times New Roman"/>
          <w:sz w:val="24"/>
          <w:szCs w:val="24"/>
        </w:rPr>
        <w:t xml:space="preserve">), the privacy of students’ educational records, including disciplinary records, is protected. Nevertheless, they may be disclosed without a student’s consent “To comply with a judicial order or lawfully issued subpoena” or in a case of “health or safety emergency </w:t>
      </w:r>
      <w:proofErr w:type="gramStart"/>
      <w:r w:rsidR="002544CF" w:rsidRPr="00CC49EA">
        <w:rPr>
          <w:rFonts w:ascii="Times New Roman" w:hAnsi="Times New Roman" w:cs="Times New Roman"/>
          <w:sz w:val="24"/>
          <w:szCs w:val="24"/>
        </w:rPr>
        <w:t>in order to</w:t>
      </w:r>
      <w:proofErr w:type="gramEnd"/>
      <w:r w:rsidR="002544CF" w:rsidRPr="00CC49EA">
        <w:rPr>
          <w:rFonts w:ascii="Times New Roman" w:hAnsi="Times New Roman" w:cs="Times New Roman"/>
          <w:sz w:val="24"/>
          <w:szCs w:val="24"/>
        </w:rPr>
        <w:t xml:space="preserve"> protect the student or others.”   </w:t>
      </w:r>
      <w:r w:rsidRPr="00CC49EA">
        <w:rPr>
          <w:rFonts w:ascii="Times New Roman" w:hAnsi="Times New Roman" w:cs="Times New Roman"/>
          <w:sz w:val="24"/>
          <w:szCs w:val="24"/>
        </w:rPr>
        <w:t xml:space="preserve"> </w:t>
      </w:r>
    </w:p>
    <w:p w14:paraId="7FE060C7" w14:textId="77777777" w:rsidR="00E507B7" w:rsidRPr="00CC49EA" w:rsidRDefault="00BB4E8C" w:rsidP="00444858">
      <w:pPr>
        <w:spacing w:line="240" w:lineRule="auto"/>
        <w:rPr>
          <w:rFonts w:ascii="Times New Roman" w:hAnsi="Times New Roman" w:cs="Times New Roman"/>
          <w:sz w:val="24"/>
          <w:szCs w:val="24"/>
        </w:rPr>
      </w:pPr>
      <w:r w:rsidRPr="00CC49EA">
        <w:rPr>
          <w:rFonts w:ascii="Times New Roman" w:hAnsi="Times New Roman" w:cs="Times New Roman"/>
          <w:sz w:val="24"/>
          <w:szCs w:val="24"/>
        </w:rPr>
        <w:tab/>
      </w:r>
      <w:r w:rsidR="00BF3DC1" w:rsidRPr="00CC49EA">
        <w:rPr>
          <w:rFonts w:ascii="Times New Roman" w:hAnsi="Times New Roman" w:cs="Times New Roman"/>
          <w:sz w:val="24"/>
          <w:szCs w:val="24"/>
        </w:rPr>
        <w:t xml:space="preserve">In a related factor, </w:t>
      </w:r>
      <w:r w:rsidR="0065352E" w:rsidRPr="00CC49EA">
        <w:rPr>
          <w:rFonts w:ascii="Times New Roman" w:hAnsi="Times New Roman" w:cs="Times New Roman"/>
          <w:sz w:val="24"/>
          <w:szCs w:val="24"/>
        </w:rPr>
        <w:t>and one that applies to the case of James Holmes</w:t>
      </w:r>
      <w:r w:rsidR="00E507B7" w:rsidRPr="00CC49EA">
        <w:rPr>
          <w:rFonts w:ascii="Times New Roman" w:hAnsi="Times New Roman" w:cs="Times New Roman"/>
          <w:sz w:val="24"/>
          <w:szCs w:val="24"/>
        </w:rPr>
        <w:t xml:space="preserve">, with such patients with mental health problems being evaluated by psychologists, it is still difficult for them to assess their potential risk of violence. This is </w:t>
      </w:r>
      <w:proofErr w:type="gramStart"/>
      <w:r w:rsidR="00E507B7" w:rsidRPr="00CC49EA">
        <w:rPr>
          <w:rFonts w:ascii="Times New Roman" w:hAnsi="Times New Roman" w:cs="Times New Roman"/>
          <w:sz w:val="24"/>
          <w:szCs w:val="24"/>
        </w:rPr>
        <w:t>due to the fact that</w:t>
      </w:r>
      <w:proofErr w:type="gramEnd"/>
      <w:r w:rsidR="00E507B7" w:rsidRPr="00CC49EA">
        <w:rPr>
          <w:rFonts w:ascii="Times New Roman" w:hAnsi="Times New Roman" w:cs="Times New Roman"/>
          <w:sz w:val="24"/>
          <w:szCs w:val="24"/>
        </w:rPr>
        <w:t xml:space="preserve"> if a patient does not have a history of prior violent activity, an accurate assessment of the likelihood of future violence is difficult. Nevertheless, with the biggest risk for violence is access to or ownership of a firearm, in the absence of evidence that a patient is in the process of acquiring weapons, it is difficult to predict such trajectory into violence.</w:t>
      </w:r>
    </w:p>
    <w:p w14:paraId="1EE76CFC" w14:textId="7A6C98D3" w:rsidR="00444858" w:rsidRPr="00CC49EA" w:rsidRDefault="00E507B7" w:rsidP="00444858">
      <w:pPr>
        <w:spacing w:line="240" w:lineRule="auto"/>
        <w:rPr>
          <w:rFonts w:ascii="Times New Roman" w:hAnsi="Times New Roman" w:cs="Times New Roman"/>
          <w:sz w:val="24"/>
          <w:szCs w:val="24"/>
        </w:rPr>
      </w:pPr>
      <w:r w:rsidRPr="00CC49EA">
        <w:rPr>
          <w:rFonts w:ascii="Times New Roman" w:hAnsi="Times New Roman" w:cs="Times New Roman"/>
          <w:sz w:val="24"/>
          <w:szCs w:val="24"/>
        </w:rPr>
        <w:tab/>
        <w:t xml:space="preserve">Even if a psychologist finds sufficient risk indicators to report them to appropriate authorities, another hurdle is the </w:t>
      </w:r>
      <w:r w:rsidR="007A3D9D" w:rsidRPr="00CC49EA">
        <w:rPr>
          <w:rFonts w:ascii="Times New Roman" w:hAnsi="Times New Roman" w:cs="Times New Roman"/>
          <w:sz w:val="24"/>
          <w:szCs w:val="24"/>
        </w:rPr>
        <w:t xml:space="preserve">legality of the </w:t>
      </w:r>
      <w:r w:rsidRPr="00CC49EA">
        <w:rPr>
          <w:rFonts w:ascii="Times New Roman" w:hAnsi="Times New Roman" w:cs="Times New Roman"/>
          <w:sz w:val="24"/>
          <w:szCs w:val="24"/>
        </w:rPr>
        <w:t xml:space="preserve">confidentiality of such therapy sessions. Thus, to what extent </w:t>
      </w:r>
      <w:r w:rsidR="007A3D9D" w:rsidRPr="00CC49EA">
        <w:rPr>
          <w:rFonts w:ascii="Times New Roman" w:hAnsi="Times New Roman" w:cs="Times New Roman"/>
          <w:sz w:val="24"/>
          <w:szCs w:val="24"/>
        </w:rPr>
        <w:t xml:space="preserve">are psychologists obligated to report their suspicions about a patient? An exception </w:t>
      </w:r>
      <w:r w:rsidR="007A3D9D" w:rsidRPr="00CC49EA">
        <w:rPr>
          <w:rFonts w:ascii="Times New Roman" w:hAnsi="Times New Roman" w:cs="Times New Roman"/>
          <w:sz w:val="24"/>
          <w:szCs w:val="24"/>
        </w:rPr>
        <w:lastRenderedPageBreak/>
        <w:t>may include a strong concern that a patient is on the verge of posing an imminent danger to himself or to others.</w:t>
      </w:r>
      <w:r w:rsidRPr="00CC49EA">
        <w:rPr>
          <w:rFonts w:ascii="Times New Roman" w:hAnsi="Times New Roman" w:cs="Times New Roman"/>
          <w:sz w:val="24"/>
          <w:szCs w:val="24"/>
        </w:rPr>
        <w:t xml:space="preserve">  </w:t>
      </w:r>
    </w:p>
    <w:p w14:paraId="6D8CFE82" w14:textId="4DFF81C5" w:rsidR="00D15FA8" w:rsidRPr="00CC49EA" w:rsidRDefault="00D15FA8" w:rsidP="00D63BE8">
      <w:pPr>
        <w:spacing w:line="240" w:lineRule="auto"/>
        <w:ind w:firstLine="720"/>
        <w:rPr>
          <w:rFonts w:ascii="Times New Roman" w:hAnsi="Times New Roman" w:cs="Times New Roman"/>
          <w:sz w:val="24"/>
          <w:szCs w:val="24"/>
        </w:rPr>
      </w:pPr>
      <w:r w:rsidRPr="00CC49EA">
        <w:rPr>
          <w:rFonts w:ascii="Times New Roman" w:hAnsi="Times New Roman" w:cs="Times New Roman"/>
          <w:b/>
          <w:sz w:val="24"/>
          <w:szCs w:val="24"/>
        </w:rPr>
        <w:t>Group Decision Making.</w:t>
      </w:r>
      <w:r w:rsidRPr="00CC49EA">
        <w:rPr>
          <w:rFonts w:ascii="Times New Roman" w:hAnsi="Times New Roman" w:cs="Times New Roman"/>
          <w:sz w:val="24"/>
          <w:szCs w:val="24"/>
        </w:rPr>
        <w:t xml:space="preserve"> In the discipline of social psychology, according</w:t>
      </w:r>
      <w:r w:rsidR="004233BE" w:rsidRPr="00CC49EA">
        <w:rPr>
          <w:rFonts w:ascii="Times New Roman" w:hAnsi="Times New Roman" w:cs="Times New Roman"/>
          <w:sz w:val="24"/>
          <w:szCs w:val="24"/>
        </w:rPr>
        <w:t xml:space="preserve"> a March 25, 2016 article by Kevin Dutton and Dominic Abrams on the theory of group inhibition of bystander intervention in emergencies, published in “Scientific American,” </w:t>
      </w:r>
      <w:r w:rsidRPr="00CC49EA">
        <w:rPr>
          <w:rFonts w:ascii="Times New Roman" w:hAnsi="Times New Roman" w:cs="Times New Roman"/>
          <w:sz w:val="24"/>
          <w:szCs w:val="24"/>
        </w:rPr>
        <w:t xml:space="preserve">such crises usually begin as “ambiguous, potentially innocuous situations.” If group members who might also be confronted by such emergencies decide not to act, individuals within that group will also decide not to </w:t>
      </w:r>
      <w:proofErr w:type="gramStart"/>
      <w:r w:rsidRPr="00CC49EA">
        <w:rPr>
          <w:rFonts w:ascii="Times New Roman" w:hAnsi="Times New Roman" w:cs="Times New Roman"/>
          <w:sz w:val="24"/>
          <w:szCs w:val="24"/>
        </w:rPr>
        <w:t>take action</w:t>
      </w:r>
      <w:proofErr w:type="gramEnd"/>
      <w:r w:rsidRPr="00CC49EA">
        <w:rPr>
          <w:rFonts w:ascii="Times New Roman" w:hAnsi="Times New Roman" w:cs="Times New Roman"/>
          <w:sz w:val="24"/>
          <w:szCs w:val="24"/>
        </w:rPr>
        <w:t xml:space="preserve">. Thus, individuals tend to reference others for </w:t>
      </w:r>
      <w:proofErr w:type="gramStart"/>
      <w:r w:rsidRPr="00CC49EA">
        <w:rPr>
          <w:rFonts w:ascii="Times New Roman" w:hAnsi="Times New Roman" w:cs="Times New Roman"/>
          <w:sz w:val="24"/>
          <w:szCs w:val="24"/>
        </w:rPr>
        <w:t>taking action</w:t>
      </w:r>
      <w:proofErr w:type="gramEnd"/>
      <w:r w:rsidRPr="00CC49EA">
        <w:rPr>
          <w:rFonts w:ascii="Times New Roman" w:hAnsi="Times New Roman" w:cs="Times New Roman"/>
          <w:sz w:val="24"/>
          <w:szCs w:val="24"/>
        </w:rPr>
        <w:t xml:space="preserve">, or, in this case, not taking action, since they are part of the overall group dynamics that may be playing out. In the case of neighbors becoming aware of someone’s “out of the ordinary” suspicious activities, they may not </w:t>
      </w:r>
      <w:proofErr w:type="gramStart"/>
      <w:r w:rsidRPr="00CC49EA">
        <w:rPr>
          <w:rFonts w:ascii="Times New Roman" w:hAnsi="Times New Roman" w:cs="Times New Roman"/>
          <w:sz w:val="24"/>
          <w:szCs w:val="24"/>
        </w:rPr>
        <w:t>take action</w:t>
      </w:r>
      <w:proofErr w:type="gramEnd"/>
      <w:r w:rsidRPr="00CC49EA">
        <w:rPr>
          <w:rFonts w:ascii="Times New Roman" w:hAnsi="Times New Roman" w:cs="Times New Roman"/>
          <w:sz w:val="24"/>
          <w:szCs w:val="24"/>
        </w:rPr>
        <w:t xml:space="preserve"> because others in the neighborhood are not </w:t>
      </w:r>
      <w:r w:rsidR="00D63BE8" w:rsidRPr="00CC49EA">
        <w:rPr>
          <w:rFonts w:ascii="Times New Roman" w:hAnsi="Times New Roman" w:cs="Times New Roman"/>
          <w:sz w:val="24"/>
          <w:szCs w:val="24"/>
        </w:rPr>
        <w:t>intervening.</w:t>
      </w:r>
    </w:p>
    <w:p w14:paraId="4F823E93" w14:textId="7B8D72C3" w:rsidR="00D63BE8" w:rsidRPr="00CC49EA" w:rsidRDefault="00D63BE8" w:rsidP="00D63BE8">
      <w:pPr>
        <w:spacing w:line="240" w:lineRule="auto"/>
        <w:ind w:firstLine="720"/>
        <w:rPr>
          <w:rFonts w:ascii="Times New Roman" w:hAnsi="Times New Roman" w:cs="Times New Roman"/>
          <w:sz w:val="24"/>
          <w:szCs w:val="24"/>
        </w:rPr>
      </w:pPr>
      <w:r w:rsidRPr="00CC49EA">
        <w:rPr>
          <w:rFonts w:ascii="Times New Roman" w:hAnsi="Times New Roman" w:cs="Times New Roman"/>
          <w:sz w:val="24"/>
          <w:szCs w:val="24"/>
        </w:rPr>
        <w:t>Other related group decision making factors in not contacting authorities might include being uncomfortable about judging others, including engaging in racial or ethnic profiling; concern they might get an innocent person in trouble</w:t>
      </w:r>
      <w:r w:rsidR="00181F5B" w:rsidRPr="00CC49EA">
        <w:rPr>
          <w:rFonts w:ascii="Times New Roman" w:hAnsi="Times New Roman" w:cs="Times New Roman"/>
          <w:sz w:val="24"/>
          <w:szCs w:val="24"/>
        </w:rPr>
        <w:t xml:space="preserve"> with the law; and concern about possible</w:t>
      </w:r>
      <w:r w:rsidRPr="00CC49EA">
        <w:rPr>
          <w:rFonts w:ascii="Times New Roman" w:hAnsi="Times New Roman" w:cs="Times New Roman"/>
          <w:sz w:val="24"/>
          <w:szCs w:val="24"/>
        </w:rPr>
        <w:t xml:space="preserve"> retaliation by the individual </w:t>
      </w:r>
      <w:r w:rsidR="00181F5B" w:rsidRPr="00CC49EA">
        <w:rPr>
          <w:rFonts w:ascii="Times New Roman" w:hAnsi="Times New Roman" w:cs="Times New Roman"/>
          <w:sz w:val="24"/>
          <w:szCs w:val="24"/>
        </w:rPr>
        <w:t>they have placed</w:t>
      </w:r>
      <w:r w:rsidR="00D61265">
        <w:rPr>
          <w:rFonts w:ascii="Times New Roman" w:hAnsi="Times New Roman" w:cs="Times New Roman"/>
          <w:sz w:val="24"/>
          <w:szCs w:val="24"/>
        </w:rPr>
        <w:t xml:space="preserve"> under</w:t>
      </w:r>
      <w:bookmarkStart w:id="0" w:name="_GoBack"/>
      <w:bookmarkEnd w:id="0"/>
      <w:r w:rsidRPr="00CC49EA">
        <w:rPr>
          <w:rFonts w:ascii="Times New Roman" w:hAnsi="Times New Roman" w:cs="Times New Roman"/>
          <w:sz w:val="24"/>
          <w:szCs w:val="24"/>
        </w:rPr>
        <w:t xml:space="preserve"> suspicion</w:t>
      </w:r>
      <w:r w:rsidR="00181F5B" w:rsidRPr="00CC49EA">
        <w:rPr>
          <w:rFonts w:ascii="Times New Roman" w:hAnsi="Times New Roman" w:cs="Times New Roman"/>
          <w:sz w:val="24"/>
          <w:szCs w:val="24"/>
        </w:rPr>
        <w:t>.</w:t>
      </w:r>
      <w:r w:rsidRPr="00CC49EA">
        <w:rPr>
          <w:rFonts w:ascii="Times New Roman" w:hAnsi="Times New Roman" w:cs="Times New Roman"/>
          <w:sz w:val="24"/>
          <w:szCs w:val="24"/>
        </w:rPr>
        <w:t xml:space="preserve"> </w:t>
      </w:r>
    </w:p>
    <w:p w14:paraId="5254DE7D" w14:textId="48ECD86A" w:rsidR="00BB2E13" w:rsidRPr="00CC49EA" w:rsidRDefault="00BB2E13" w:rsidP="00444858">
      <w:pPr>
        <w:spacing w:line="240" w:lineRule="auto"/>
        <w:rPr>
          <w:rFonts w:ascii="Times New Roman" w:hAnsi="Times New Roman" w:cs="Times New Roman"/>
          <w:b/>
          <w:sz w:val="24"/>
          <w:szCs w:val="24"/>
        </w:rPr>
      </w:pPr>
      <w:r w:rsidRPr="00CC49EA">
        <w:rPr>
          <w:rFonts w:ascii="Times New Roman" w:hAnsi="Times New Roman" w:cs="Times New Roman"/>
          <w:b/>
          <w:sz w:val="24"/>
          <w:szCs w:val="24"/>
        </w:rPr>
        <w:t>Part Two: The Path Forward</w:t>
      </w:r>
    </w:p>
    <w:p w14:paraId="5DC25CDE" w14:textId="2A4F153E" w:rsidR="00BB2E13" w:rsidRPr="00CC49EA" w:rsidRDefault="00BB2E13" w:rsidP="00BB2E13">
      <w:pPr>
        <w:spacing w:line="240" w:lineRule="auto"/>
        <w:rPr>
          <w:rFonts w:ascii="Times New Roman" w:hAnsi="Times New Roman" w:cs="Times New Roman"/>
          <w:sz w:val="24"/>
          <w:szCs w:val="24"/>
        </w:rPr>
      </w:pPr>
      <w:r w:rsidRPr="00CC49EA">
        <w:rPr>
          <w:rFonts w:ascii="Times New Roman" w:hAnsi="Times New Roman" w:cs="Times New Roman"/>
          <w:sz w:val="24"/>
          <w:szCs w:val="24"/>
        </w:rPr>
        <w:tab/>
        <w:t>As demonstrated by these selected cases</w:t>
      </w:r>
      <w:r w:rsidR="00181F5B" w:rsidRPr="00CC49EA">
        <w:rPr>
          <w:rFonts w:ascii="Times New Roman" w:hAnsi="Times New Roman" w:cs="Times New Roman"/>
          <w:sz w:val="24"/>
          <w:szCs w:val="24"/>
        </w:rPr>
        <w:t xml:space="preserve"> and the constraints and inhibitors that need to be overcome</w:t>
      </w:r>
      <w:r w:rsidRPr="00CC49EA">
        <w:rPr>
          <w:rFonts w:ascii="Times New Roman" w:hAnsi="Times New Roman" w:cs="Times New Roman"/>
          <w:sz w:val="24"/>
          <w:szCs w:val="24"/>
        </w:rPr>
        <w:t xml:space="preserve">, </w:t>
      </w:r>
      <w:r w:rsidR="00181F5B" w:rsidRPr="00CC49EA">
        <w:rPr>
          <w:rFonts w:ascii="Times New Roman" w:hAnsi="Times New Roman" w:cs="Times New Roman"/>
          <w:sz w:val="24"/>
          <w:szCs w:val="24"/>
        </w:rPr>
        <w:t>when something suspicious is encountered</w:t>
      </w:r>
      <w:r w:rsidRPr="00CC49EA">
        <w:rPr>
          <w:rFonts w:ascii="Times New Roman" w:hAnsi="Times New Roman" w:cs="Times New Roman"/>
          <w:sz w:val="24"/>
          <w:szCs w:val="24"/>
        </w:rPr>
        <w:t xml:space="preserve">, as DHS explains, that “shouldn’t be there – or someone’s behavior…doesn’t seem quite right,” it is important to “say something.” Despite the obstacles discussed in Part One, it is crucial to come up with solutions to </w:t>
      </w:r>
      <w:r w:rsidR="00181F5B" w:rsidRPr="00CC49EA">
        <w:rPr>
          <w:rFonts w:ascii="Times New Roman" w:hAnsi="Times New Roman" w:cs="Times New Roman"/>
          <w:sz w:val="24"/>
          <w:szCs w:val="24"/>
        </w:rPr>
        <w:t>strengthen engagement by individuals, whether in organizations or in neighborhoods,</w:t>
      </w:r>
      <w:r w:rsidRPr="00CC49EA">
        <w:rPr>
          <w:rFonts w:ascii="Times New Roman" w:hAnsi="Times New Roman" w:cs="Times New Roman"/>
          <w:sz w:val="24"/>
          <w:szCs w:val="24"/>
        </w:rPr>
        <w:t xml:space="preserve"> </w:t>
      </w:r>
      <w:r w:rsidR="00181F5B" w:rsidRPr="00CC49EA">
        <w:rPr>
          <w:rFonts w:ascii="Times New Roman" w:hAnsi="Times New Roman" w:cs="Times New Roman"/>
          <w:sz w:val="24"/>
          <w:szCs w:val="24"/>
        </w:rPr>
        <w:t>to</w:t>
      </w:r>
      <w:r w:rsidRPr="00CC49EA">
        <w:rPr>
          <w:rFonts w:ascii="Times New Roman" w:hAnsi="Times New Roman" w:cs="Times New Roman"/>
          <w:sz w:val="24"/>
          <w:szCs w:val="24"/>
        </w:rPr>
        <w:t xml:space="preserve"> report suspicious</w:t>
      </w:r>
      <w:r w:rsidR="00D15FA8" w:rsidRPr="00CC49EA">
        <w:rPr>
          <w:rFonts w:ascii="Times New Roman" w:hAnsi="Times New Roman" w:cs="Times New Roman"/>
          <w:sz w:val="24"/>
          <w:szCs w:val="24"/>
        </w:rPr>
        <w:t xml:space="preserve"> mindsets and</w:t>
      </w:r>
      <w:r w:rsidRPr="00CC49EA">
        <w:rPr>
          <w:rFonts w:ascii="Times New Roman" w:hAnsi="Times New Roman" w:cs="Times New Roman"/>
          <w:sz w:val="24"/>
          <w:szCs w:val="24"/>
        </w:rPr>
        <w:t xml:space="preserve"> </w:t>
      </w:r>
      <w:r w:rsidR="00D15FA8" w:rsidRPr="00CC49EA">
        <w:rPr>
          <w:rFonts w:ascii="Times New Roman" w:hAnsi="Times New Roman" w:cs="Times New Roman"/>
          <w:sz w:val="24"/>
          <w:szCs w:val="24"/>
        </w:rPr>
        <w:t>behaviors</w:t>
      </w:r>
      <w:r w:rsidR="00181F5B" w:rsidRPr="00CC49EA">
        <w:rPr>
          <w:rFonts w:ascii="Times New Roman" w:hAnsi="Times New Roman" w:cs="Times New Roman"/>
          <w:sz w:val="24"/>
          <w:szCs w:val="24"/>
        </w:rPr>
        <w:t xml:space="preserve"> that might lead to violent action</w:t>
      </w:r>
      <w:r w:rsidR="00D15FA8" w:rsidRPr="00CC49EA">
        <w:rPr>
          <w:rFonts w:ascii="Times New Roman" w:hAnsi="Times New Roman" w:cs="Times New Roman"/>
          <w:sz w:val="24"/>
          <w:szCs w:val="24"/>
        </w:rPr>
        <w:t>.</w:t>
      </w:r>
    </w:p>
    <w:p w14:paraId="36EEBD92" w14:textId="4248A545" w:rsidR="00E31262" w:rsidRPr="00CC49EA" w:rsidRDefault="00270CE0" w:rsidP="00BB2E13">
      <w:pPr>
        <w:spacing w:line="240" w:lineRule="auto"/>
        <w:rPr>
          <w:rFonts w:ascii="Times New Roman" w:hAnsi="Times New Roman" w:cs="Times New Roman"/>
          <w:sz w:val="24"/>
          <w:szCs w:val="24"/>
        </w:rPr>
      </w:pPr>
      <w:r w:rsidRPr="00CC49EA">
        <w:rPr>
          <w:rFonts w:ascii="Times New Roman" w:hAnsi="Times New Roman" w:cs="Times New Roman"/>
          <w:noProof/>
          <w:sz w:val="24"/>
          <w:szCs w:val="24"/>
        </w:rPr>
        <w:drawing>
          <wp:inline distT="0" distB="0" distL="0" distR="0" wp14:anchorId="7A86E309" wp14:editId="63AAF979">
            <wp:extent cx="4037724" cy="2690487"/>
            <wp:effectExtent l="0" t="0" r="1270" b="0"/>
            <wp:docPr id="33" name="Picture 33" descr="1137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37439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122" cy="2705411"/>
                    </a:xfrm>
                    <a:prstGeom prst="rect">
                      <a:avLst/>
                    </a:prstGeom>
                    <a:noFill/>
                    <a:ln>
                      <a:noFill/>
                    </a:ln>
                  </pic:spPr>
                </pic:pic>
              </a:graphicData>
            </a:graphic>
          </wp:inline>
        </w:drawing>
      </w:r>
    </w:p>
    <w:p w14:paraId="77F91C95" w14:textId="074F94C5" w:rsidR="00270CE0" w:rsidRPr="00CC49EA" w:rsidRDefault="00270CE0" w:rsidP="00BB2E13">
      <w:pPr>
        <w:spacing w:line="240" w:lineRule="auto"/>
        <w:rPr>
          <w:rFonts w:ascii="Times New Roman" w:hAnsi="Times New Roman" w:cs="Times New Roman"/>
          <w:sz w:val="24"/>
          <w:szCs w:val="24"/>
        </w:rPr>
      </w:pPr>
      <w:r w:rsidRPr="00CC49EA">
        <w:rPr>
          <w:rStyle w:val="credit"/>
          <w:rFonts w:ascii="Times New Roman" w:hAnsi="Times New Roman" w:cs="Times New Roman"/>
          <w:sz w:val="24"/>
          <w:szCs w:val="24"/>
          <w:bdr w:val="none" w:sz="0" w:space="0" w:color="auto" w:frame="1"/>
        </w:rPr>
        <w:t>Photo: Stephane Jourdain/AFP/Getty Images</w:t>
      </w:r>
    </w:p>
    <w:p w14:paraId="0471A012" w14:textId="3DED1CF1" w:rsidR="00BB2E13" w:rsidRPr="00CC49EA" w:rsidRDefault="00BB2E13" w:rsidP="00BB2E13">
      <w:pPr>
        <w:spacing w:line="240" w:lineRule="auto"/>
        <w:rPr>
          <w:rFonts w:ascii="Times New Roman" w:hAnsi="Times New Roman" w:cs="Times New Roman"/>
          <w:sz w:val="24"/>
          <w:szCs w:val="24"/>
        </w:rPr>
      </w:pPr>
      <w:r w:rsidRPr="00CC49EA">
        <w:rPr>
          <w:rFonts w:ascii="Times New Roman" w:hAnsi="Times New Roman" w:cs="Times New Roman"/>
          <w:sz w:val="24"/>
          <w:szCs w:val="24"/>
        </w:rPr>
        <w:tab/>
      </w:r>
      <w:r w:rsidR="00D15FA8" w:rsidRPr="00CC49EA">
        <w:rPr>
          <w:rFonts w:ascii="Times New Roman" w:hAnsi="Times New Roman" w:cs="Times New Roman"/>
          <w:sz w:val="24"/>
          <w:szCs w:val="24"/>
        </w:rPr>
        <w:t xml:space="preserve">First, </w:t>
      </w:r>
      <w:r w:rsidR="00FA5C86" w:rsidRPr="00CC49EA">
        <w:rPr>
          <w:rFonts w:ascii="Times New Roman" w:hAnsi="Times New Roman" w:cs="Times New Roman"/>
          <w:sz w:val="24"/>
          <w:szCs w:val="24"/>
        </w:rPr>
        <w:t xml:space="preserve">it is </w:t>
      </w:r>
      <w:r w:rsidR="009556A4" w:rsidRPr="00CC49EA">
        <w:rPr>
          <w:rFonts w:ascii="Times New Roman" w:hAnsi="Times New Roman" w:cs="Times New Roman"/>
          <w:sz w:val="24"/>
          <w:szCs w:val="24"/>
        </w:rPr>
        <w:t>required</w:t>
      </w:r>
      <w:r w:rsidR="00FA5C86" w:rsidRPr="00CC49EA">
        <w:rPr>
          <w:rFonts w:ascii="Times New Roman" w:hAnsi="Times New Roman" w:cs="Times New Roman"/>
          <w:sz w:val="24"/>
          <w:szCs w:val="24"/>
        </w:rPr>
        <w:t xml:space="preserve">, under federal guidelines, </w:t>
      </w:r>
      <w:r w:rsidR="009556A4" w:rsidRPr="00CC49EA">
        <w:rPr>
          <w:rFonts w:ascii="Times New Roman" w:hAnsi="Times New Roman" w:cs="Times New Roman"/>
          <w:sz w:val="24"/>
          <w:szCs w:val="24"/>
        </w:rPr>
        <w:t xml:space="preserve">for employers </w:t>
      </w:r>
      <w:r w:rsidR="00FA5C86" w:rsidRPr="00CC49EA">
        <w:rPr>
          <w:rFonts w:ascii="Times New Roman" w:hAnsi="Times New Roman" w:cs="Times New Roman"/>
          <w:sz w:val="24"/>
          <w:szCs w:val="24"/>
        </w:rPr>
        <w:t>to be proactive in managing individuals of concern</w:t>
      </w:r>
      <w:r w:rsidR="009556A4" w:rsidRPr="00CC49EA">
        <w:rPr>
          <w:rFonts w:ascii="Times New Roman" w:hAnsi="Times New Roman" w:cs="Times New Roman"/>
          <w:sz w:val="24"/>
          <w:szCs w:val="24"/>
        </w:rPr>
        <w:t xml:space="preserve">, as </w:t>
      </w:r>
      <w:r w:rsidRPr="00CC49EA">
        <w:rPr>
          <w:rFonts w:ascii="Times New Roman" w:hAnsi="Times New Roman" w:cs="Times New Roman"/>
          <w:sz w:val="24"/>
          <w:szCs w:val="24"/>
        </w:rPr>
        <w:t xml:space="preserve">they are mandated by the Department of Labor’s Occupational, Safety and Agency’s (OSHA) General Duty Clause to provide their employees a safe workplace free from recognized hazards that can cause death or serious injury. This includes a “hazard </w:t>
      </w:r>
      <w:r w:rsidRPr="00CC49EA">
        <w:rPr>
          <w:rFonts w:ascii="Times New Roman" w:hAnsi="Times New Roman" w:cs="Times New Roman"/>
          <w:sz w:val="24"/>
          <w:szCs w:val="24"/>
        </w:rPr>
        <w:lastRenderedPageBreak/>
        <w:t xml:space="preserve">identification, hazard mitigation, hazard control” response to an aggressive intruder or active shooter who intend to do harm to people in work settings. The general duty clause requires employers to take steps to minimize these hazards. These mitigation steps include providing training on how to recognize indicators of potential active shooters as well as how to respond when an active shooter situation exists. If training is not provided, it could potentially result in the finding of an OSHA Act violation, thereby opening the door for a civil liability against the business.     </w:t>
      </w:r>
    </w:p>
    <w:p w14:paraId="57AD3962" w14:textId="19E56898" w:rsidR="00ED46CE" w:rsidRPr="00CC49EA" w:rsidRDefault="00FA5C86" w:rsidP="00444858">
      <w:pPr>
        <w:spacing w:line="240" w:lineRule="auto"/>
        <w:rPr>
          <w:rFonts w:ascii="Times New Roman" w:hAnsi="Times New Roman" w:cs="Times New Roman"/>
          <w:sz w:val="24"/>
          <w:szCs w:val="24"/>
        </w:rPr>
      </w:pPr>
      <w:r w:rsidRPr="00CC49EA">
        <w:rPr>
          <w:rFonts w:ascii="Times New Roman" w:hAnsi="Times New Roman" w:cs="Times New Roman"/>
          <w:sz w:val="24"/>
          <w:szCs w:val="24"/>
        </w:rPr>
        <w:tab/>
        <w:t xml:space="preserve">Second, </w:t>
      </w:r>
      <w:r w:rsidR="009556A4" w:rsidRPr="00CC49EA">
        <w:rPr>
          <w:rFonts w:ascii="Times New Roman" w:hAnsi="Times New Roman" w:cs="Times New Roman"/>
          <w:sz w:val="24"/>
          <w:szCs w:val="24"/>
        </w:rPr>
        <w:t xml:space="preserve">as demonstrated by the consequences of </w:t>
      </w:r>
      <w:proofErr w:type="spellStart"/>
      <w:r w:rsidR="009556A4" w:rsidRPr="00CC49EA">
        <w:rPr>
          <w:rFonts w:ascii="Times New Roman" w:hAnsi="Times New Roman" w:cs="Times New Roman"/>
          <w:sz w:val="24"/>
          <w:szCs w:val="24"/>
        </w:rPr>
        <w:t>Engeldinger’s</w:t>
      </w:r>
      <w:proofErr w:type="spellEnd"/>
      <w:r w:rsidR="009556A4" w:rsidRPr="00CC49EA">
        <w:rPr>
          <w:rFonts w:ascii="Times New Roman" w:hAnsi="Times New Roman" w:cs="Times New Roman"/>
          <w:sz w:val="24"/>
          <w:szCs w:val="24"/>
        </w:rPr>
        <w:t xml:space="preserve"> violent rampage, his company was found liable in a court judgement for being negligent in not properly adhering to OSHA’s “General Duty Clause” by implementing security precautions, resulting in an undisclosed financial settlement with the family of one of his victims.</w:t>
      </w:r>
    </w:p>
    <w:p w14:paraId="10EA5415" w14:textId="430624A9" w:rsidR="009556A4" w:rsidRPr="00CC49EA" w:rsidRDefault="009556A4" w:rsidP="00444858">
      <w:pPr>
        <w:spacing w:line="240" w:lineRule="auto"/>
        <w:rPr>
          <w:rFonts w:ascii="Times New Roman" w:hAnsi="Times New Roman" w:cs="Times New Roman"/>
          <w:sz w:val="24"/>
          <w:szCs w:val="24"/>
        </w:rPr>
      </w:pPr>
      <w:r w:rsidRPr="00CC49EA">
        <w:rPr>
          <w:rFonts w:ascii="Times New Roman" w:hAnsi="Times New Roman" w:cs="Times New Roman"/>
          <w:sz w:val="24"/>
          <w:szCs w:val="24"/>
        </w:rPr>
        <w:tab/>
        <w:t xml:space="preserve">Finally, the </w:t>
      </w:r>
      <w:r w:rsidR="004233BE" w:rsidRPr="00CC49EA">
        <w:rPr>
          <w:rFonts w:ascii="Times New Roman" w:hAnsi="Times New Roman" w:cs="Times New Roman"/>
          <w:sz w:val="24"/>
          <w:szCs w:val="24"/>
        </w:rPr>
        <w:t xml:space="preserve">links in the chain of the </w:t>
      </w:r>
      <w:r w:rsidRPr="00CC49EA">
        <w:rPr>
          <w:rFonts w:ascii="Times New Roman" w:hAnsi="Times New Roman" w:cs="Times New Roman"/>
          <w:sz w:val="24"/>
          <w:szCs w:val="24"/>
        </w:rPr>
        <w:t xml:space="preserve">psychologically-driven group dynamics that might inhibit </w:t>
      </w:r>
      <w:r w:rsidR="004233BE" w:rsidRPr="00CC49EA">
        <w:rPr>
          <w:rFonts w:ascii="Times New Roman" w:hAnsi="Times New Roman" w:cs="Times New Roman"/>
          <w:sz w:val="24"/>
          <w:szCs w:val="24"/>
        </w:rPr>
        <w:t xml:space="preserve">people to </w:t>
      </w:r>
      <w:proofErr w:type="gramStart"/>
      <w:r w:rsidR="004233BE" w:rsidRPr="00CC49EA">
        <w:rPr>
          <w:rFonts w:ascii="Times New Roman" w:hAnsi="Times New Roman" w:cs="Times New Roman"/>
          <w:sz w:val="24"/>
          <w:szCs w:val="24"/>
        </w:rPr>
        <w:t>take action</w:t>
      </w:r>
      <w:proofErr w:type="gramEnd"/>
      <w:r w:rsidR="004233BE" w:rsidRPr="00CC49EA">
        <w:rPr>
          <w:rFonts w:ascii="Times New Roman" w:hAnsi="Times New Roman" w:cs="Times New Roman"/>
          <w:sz w:val="24"/>
          <w:szCs w:val="24"/>
        </w:rPr>
        <w:t xml:space="preserve"> can be broken, according to the article by Dutton and Abrams, through interpersonal empowerment’s “sense that we are all responsible for outcomes that affect other people’s well-being, in addition to our own. Simple interventions include poster campaigns on public transportation showing, perhaps, a suspicious bag and the warning: ‘Don’t leave it up to others. It’s YOUR call!’” </w:t>
      </w:r>
    </w:p>
    <w:sectPr w:rsidR="009556A4" w:rsidRPr="00CC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34ED5"/>
    <w:multiLevelType w:val="hybridMultilevel"/>
    <w:tmpl w:val="294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52"/>
    <w:rsid w:val="000131A0"/>
    <w:rsid w:val="000B3627"/>
    <w:rsid w:val="00150E92"/>
    <w:rsid w:val="00173075"/>
    <w:rsid w:val="00181F5B"/>
    <w:rsid w:val="00194F3D"/>
    <w:rsid w:val="001A36B4"/>
    <w:rsid w:val="00222A52"/>
    <w:rsid w:val="002544CF"/>
    <w:rsid w:val="00270CE0"/>
    <w:rsid w:val="0030670C"/>
    <w:rsid w:val="00355F55"/>
    <w:rsid w:val="003D2365"/>
    <w:rsid w:val="0040789E"/>
    <w:rsid w:val="004233A0"/>
    <w:rsid w:val="004233BE"/>
    <w:rsid w:val="00425458"/>
    <w:rsid w:val="00444858"/>
    <w:rsid w:val="00591DFE"/>
    <w:rsid w:val="00633676"/>
    <w:rsid w:val="0064054C"/>
    <w:rsid w:val="0065352E"/>
    <w:rsid w:val="006B7118"/>
    <w:rsid w:val="007A3D9D"/>
    <w:rsid w:val="007D2970"/>
    <w:rsid w:val="008A1C41"/>
    <w:rsid w:val="008C0AF6"/>
    <w:rsid w:val="009556A4"/>
    <w:rsid w:val="0099418F"/>
    <w:rsid w:val="00A122E0"/>
    <w:rsid w:val="00B60078"/>
    <w:rsid w:val="00BB2E13"/>
    <w:rsid w:val="00BB4E8C"/>
    <w:rsid w:val="00BB540E"/>
    <w:rsid w:val="00BF3DC1"/>
    <w:rsid w:val="00CA5247"/>
    <w:rsid w:val="00CB1111"/>
    <w:rsid w:val="00CC49EA"/>
    <w:rsid w:val="00D15FA8"/>
    <w:rsid w:val="00D61265"/>
    <w:rsid w:val="00D63BE8"/>
    <w:rsid w:val="00DA3A25"/>
    <w:rsid w:val="00E31262"/>
    <w:rsid w:val="00E507B7"/>
    <w:rsid w:val="00ED46CE"/>
    <w:rsid w:val="00F07B59"/>
    <w:rsid w:val="00FA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79DF"/>
  <w15:chartTrackingRefBased/>
  <w15:docId w15:val="{C5D90DD4-63A5-4CF7-9D56-6A7712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27"/>
    <w:pPr>
      <w:ind w:left="720"/>
      <w:contextualSpacing/>
    </w:pPr>
  </w:style>
  <w:style w:type="paragraph" w:styleId="NoSpacing">
    <w:name w:val="No Spacing"/>
    <w:uiPriority w:val="1"/>
    <w:qFormat/>
    <w:rsid w:val="008A1C41"/>
    <w:pPr>
      <w:spacing w:after="0" w:line="240" w:lineRule="auto"/>
    </w:pPr>
  </w:style>
  <w:style w:type="character" w:styleId="Strong">
    <w:name w:val="Strong"/>
    <w:basedOn w:val="DefaultParagraphFont"/>
    <w:uiPriority w:val="22"/>
    <w:qFormat/>
    <w:rsid w:val="008A1C41"/>
    <w:rPr>
      <w:b/>
      <w:bCs/>
    </w:rPr>
  </w:style>
  <w:style w:type="character" w:customStyle="1" w:styleId="credit">
    <w:name w:val="credit"/>
    <w:basedOn w:val="DefaultParagraphFont"/>
    <w:rsid w:val="0027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Sinai</dc:creator>
  <cp:keywords/>
  <dc:description/>
  <cp:lastModifiedBy>Joshua Sinai</cp:lastModifiedBy>
  <cp:revision>5</cp:revision>
  <cp:lastPrinted>2018-01-05T13:46:00Z</cp:lastPrinted>
  <dcterms:created xsi:type="dcterms:W3CDTF">2018-01-04T21:59:00Z</dcterms:created>
  <dcterms:modified xsi:type="dcterms:W3CDTF">2018-01-05T21:35:00Z</dcterms:modified>
</cp:coreProperties>
</file>